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ook w:val="04A0" w:firstRow="1" w:lastRow="0" w:firstColumn="1" w:lastColumn="0" w:noHBand="0" w:noVBand="1"/>
      </w:tblPr>
      <w:tblGrid>
        <w:gridCol w:w="3828"/>
        <w:gridCol w:w="5670"/>
      </w:tblGrid>
      <w:tr w:rsidR="009E1F93" w:rsidTr="009E1F93">
        <w:trPr>
          <w:trHeight w:val="1705"/>
        </w:trPr>
        <w:tc>
          <w:tcPr>
            <w:tcW w:w="3828" w:type="dxa"/>
            <w:hideMark/>
          </w:tcPr>
          <w:p w:rsidR="009E1F93" w:rsidRDefault="009E1F93">
            <w:pPr>
              <w:pStyle w:val="Heading2"/>
              <w:rPr>
                <w:rFonts w:ascii="Times New Roman" w:hAnsi="Times New Roman"/>
                <w:szCs w:val="28"/>
              </w:rPr>
            </w:pPr>
            <w:r>
              <w:rPr>
                <w:rFonts w:ascii="Times New Roman" w:hAnsi="Times New Roman"/>
                <w:szCs w:val="28"/>
              </w:rPr>
              <w:t>BỘ XÂY DỰNG</w:t>
            </w:r>
          </w:p>
          <w:p w:rsidR="009E1F93" w:rsidRDefault="00CE4800">
            <w:pPr>
              <w:jc w:val="center"/>
              <w:rPr>
                <w:szCs w:val="28"/>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616585</wp:posOffset>
                      </wp:positionH>
                      <wp:positionV relativeFrom="paragraph">
                        <wp:posOffset>96519</wp:posOffset>
                      </wp:positionV>
                      <wp:extent cx="1037590" cy="0"/>
                      <wp:effectExtent l="0" t="0" r="1016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7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48.55pt;margin-top:7.6pt;width:8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rJQIAAEo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"/>
                  </w:pict>
                </mc:Fallback>
              </mc:AlternateContent>
            </w:r>
          </w:p>
          <w:p w:rsidR="009E1F93" w:rsidRDefault="009E1F93">
            <w:pPr>
              <w:jc w:val="center"/>
              <w:rPr>
                <w:szCs w:val="28"/>
              </w:rPr>
            </w:pPr>
            <w:r>
              <w:rPr>
                <w:szCs w:val="28"/>
              </w:rPr>
              <w:t xml:space="preserve">Số: </w:t>
            </w:r>
            <w:r w:rsidR="00375A56">
              <w:rPr>
                <w:szCs w:val="28"/>
              </w:rPr>
              <w:t>168</w:t>
            </w:r>
            <w:r>
              <w:rPr>
                <w:szCs w:val="28"/>
              </w:rPr>
              <w:t>/BXD-HĐXD</w:t>
            </w:r>
          </w:p>
          <w:p w:rsidR="009E1F93" w:rsidRDefault="009E1F93" w:rsidP="009E1F93">
            <w:pPr>
              <w:jc w:val="both"/>
              <w:rPr>
                <w:sz w:val="40"/>
              </w:rPr>
            </w:pPr>
            <w:r>
              <w:rPr>
                <w:iCs/>
                <w:sz w:val="24"/>
              </w:rPr>
              <w:t xml:space="preserve">V/v </w:t>
            </w:r>
            <w:r>
              <w:rPr>
                <w:sz w:val="24"/>
              </w:rPr>
              <w:t>năng lực của tổ chức nước ngoài về lập đồ án quy hoạch.</w:t>
            </w:r>
          </w:p>
        </w:tc>
        <w:tc>
          <w:tcPr>
            <w:tcW w:w="5670" w:type="dxa"/>
          </w:tcPr>
          <w:p w:rsidR="009E1F93" w:rsidRDefault="009E1F93">
            <w:pPr>
              <w:pStyle w:val="Heading2"/>
              <w:rPr>
                <w:rFonts w:ascii="Times New Roman" w:hAnsi="Times New Roman"/>
                <w:sz w:val="30"/>
              </w:rPr>
            </w:pPr>
            <w:r>
              <w:rPr>
                <w:rFonts w:ascii="Times New Roman" w:hAnsi="Times New Roman"/>
              </w:rPr>
              <w:t>CỘNG HOÀ XÃ HỘI CHỦ NGHĨA VIỆT NAM</w:t>
            </w:r>
          </w:p>
          <w:p w:rsidR="009E1F93" w:rsidRDefault="009E1F93">
            <w:pPr>
              <w:jc w:val="center"/>
              <w:rPr>
                <w:b/>
              </w:rPr>
            </w:pPr>
            <w:r>
              <w:rPr>
                <w:b/>
              </w:rPr>
              <w:t>Độc lập - Tự do - Hạnh phúc</w:t>
            </w:r>
          </w:p>
          <w:p w:rsidR="009E1F93" w:rsidRDefault="00CE4800">
            <w:pPr>
              <w:jc w:val="center"/>
              <w:rPr>
                <w:i/>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659765</wp:posOffset>
                      </wp:positionH>
                      <wp:positionV relativeFrom="paragraph">
                        <wp:posOffset>59054</wp:posOffset>
                      </wp:positionV>
                      <wp:extent cx="213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95pt,4.65pt" to="219.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n1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"/>
                  </w:pict>
                </mc:Fallback>
              </mc:AlternateContent>
            </w:r>
          </w:p>
          <w:p w:rsidR="009E1F93" w:rsidRDefault="009E1F93">
            <w:pPr>
              <w:jc w:val="center"/>
              <w:rPr>
                <w:i/>
              </w:rPr>
            </w:pPr>
            <w:r>
              <w:rPr>
                <w:i/>
              </w:rPr>
              <w:t xml:space="preserve">Hà Nội, ngày  </w:t>
            </w:r>
            <w:r w:rsidR="00375A56">
              <w:rPr>
                <w:i/>
              </w:rPr>
              <w:t xml:space="preserve">12 </w:t>
            </w:r>
            <w:r>
              <w:rPr>
                <w:i/>
              </w:rPr>
              <w:t xml:space="preserve"> tháng  10  năm 2018</w:t>
            </w:r>
          </w:p>
          <w:p w:rsidR="009E1F93" w:rsidRDefault="009E1F93">
            <w:pPr>
              <w:jc w:val="right"/>
            </w:pPr>
          </w:p>
          <w:p w:rsidR="009E1F93" w:rsidRDefault="009E1F93">
            <w:pPr>
              <w:ind w:firstLine="720"/>
              <w:rPr>
                <w:sz w:val="26"/>
              </w:rPr>
            </w:pPr>
          </w:p>
        </w:tc>
      </w:tr>
    </w:tbl>
    <w:p w:rsidR="009E1F93" w:rsidRDefault="009E1F93" w:rsidP="009E1F93">
      <w:pPr>
        <w:jc w:val="center"/>
      </w:pPr>
    </w:p>
    <w:p w:rsidR="009E1F93" w:rsidRDefault="009E1F93" w:rsidP="009E1F93">
      <w:pPr>
        <w:jc w:val="center"/>
      </w:pPr>
      <w:r>
        <w:t xml:space="preserve">Kính gửi: </w:t>
      </w:r>
      <w:r w:rsidR="005279B6">
        <w:t>Ủy ban nhân dân</w:t>
      </w:r>
      <w:r>
        <w:t xml:space="preserve"> thành phố Đà Nẵng</w:t>
      </w:r>
    </w:p>
    <w:p w:rsidR="009E1F93" w:rsidRDefault="009E1F93" w:rsidP="009E1F93">
      <w:pPr>
        <w:jc w:val="center"/>
        <w:rPr>
          <w:i/>
          <w:iCs/>
          <w:sz w:val="30"/>
        </w:rPr>
      </w:pPr>
    </w:p>
    <w:p w:rsidR="005C69D6" w:rsidRDefault="005C69D6" w:rsidP="009E1F93">
      <w:pPr>
        <w:jc w:val="center"/>
        <w:rPr>
          <w:i/>
          <w:iCs/>
          <w:sz w:val="30"/>
        </w:rPr>
      </w:pPr>
    </w:p>
    <w:p w:rsidR="009E1F93" w:rsidRDefault="009E1F93" w:rsidP="005C69D6">
      <w:pPr>
        <w:spacing w:after="120"/>
        <w:jc w:val="both"/>
      </w:pPr>
      <w:r>
        <w:tab/>
        <w:t xml:space="preserve">Bộ Xây dựng nhận được văn bản số </w:t>
      </w:r>
      <w:r w:rsidR="005279B6">
        <w:t>7432/UBND-SXD</w:t>
      </w:r>
      <w:r>
        <w:t xml:space="preserve"> ngày </w:t>
      </w:r>
      <w:r w:rsidR="005279B6">
        <w:t>26</w:t>
      </w:r>
      <w:r>
        <w:t>/</w:t>
      </w:r>
      <w:r w:rsidR="005279B6">
        <w:t>9</w:t>
      </w:r>
      <w:r>
        <w:t xml:space="preserve">/2018 của </w:t>
      </w:r>
      <w:r w:rsidR="005279B6">
        <w:t>Ủy ban nhân dân thành phố Đà Nẵng đề nghị hướng dẫn về sự phù hợp về năng lực của tổ chức tư vấn lập đồ án điều chỉnh quy hoạch chung thành phố Đà Nẵng đến năm 2030, tầm nhìn đến năm 2045</w:t>
      </w:r>
      <w:r>
        <w:t>. Sau khi xem xét, Bộ Xây dựng có ý kiến như sau:</w:t>
      </w:r>
    </w:p>
    <w:p w:rsidR="000C33E6" w:rsidRDefault="005279B6" w:rsidP="005C69D6">
      <w:pPr>
        <w:tabs>
          <w:tab w:val="left" w:pos="0"/>
          <w:tab w:val="left" w:pos="709"/>
          <w:tab w:val="left" w:pos="1134"/>
        </w:tabs>
        <w:spacing w:after="120"/>
        <w:jc w:val="both"/>
      </w:pPr>
      <w:r>
        <w:tab/>
      </w:r>
      <w:r w:rsidR="000C33E6">
        <w:t>Theo quy định tại Khoản 1 Điều 78 Nghị định số 59/2015/NĐ-CP ngày 18/6/2015 của Chính phủ về quản lý dự án đầu tư xây dựng thì quy định tại Mục 1 Chương II Nghị định số 37/2010/NĐ-CP ngày 07/4/2010 của Chính phủ về lập, thẩm định, phê duyệt và quản lý quy hoạch đô thị đã không còn hiệu lực thi hành kể từ ngày 05/8/2015. Do đó, không còn quy định pháp luật về việc công nhận năng lực của Bộ Xây dựng như quy định tại Khoản 2 Điều 10 Nghị định số 37/2010/NĐ-CP ngày 07/4/2010 của Chính phủ.</w:t>
      </w:r>
    </w:p>
    <w:p w:rsidR="000C33E6" w:rsidRDefault="000C33E6" w:rsidP="005C69D6">
      <w:pPr>
        <w:tabs>
          <w:tab w:val="left" w:pos="0"/>
          <w:tab w:val="left" w:pos="709"/>
          <w:tab w:val="left" w:pos="1134"/>
        </w:tabs>
        <w:spacing w:after="120"/>
        <w:jc w:val="both"/>
      </w:pPr>
      <w:r>
        <w:tab/>
        <w:t>Việc lựa chọn nhà thầu nước ngoài thực hiện theo quy định của pháp luật về đấu thầu và các pháp luật khác có liên quan.</w:t>
      </w:r>
    </w:p>
    <w:p w:rsidR="009E1F93" w:rsidRDefault="000C33E6" w:rsidP="000C33E6">
      <w:pPr>
        <w:tabs>
          <w:tab w:val="left" w:pos="0"/>
          <w:tab w:val="left" w:pos="709"/>
          <w:tab w:val="left" w:pos="1134"/>
        </w:tabs>
        <w:spacing w:after="120"/>
        <w:jc w:val="both"/>
      </w:pPr>
      <w:r>
        <w:tab/>
      </w:r>
      <w:r w:rsidR="009E1F93">
        <w:t xml:space="preserve">Trên đây là ý kiến hướng dẫn của Bộ Xây dựng, đề nghị </w:t>
      </w:r>
      <w:r w:rsidR="005279B6">
        <w:t>Ủy ban nhân dân thành phố Đà Nẵng</w:t>
      </w:r>
      <w:r w:rsidR="009E1F93">
        <w:t xml:space="preserve"> nghiên cứu, thực hiện./.</w:t>
      </w:r>
    </w:p>
    <w:p w:rsidR="005279B6" w:rsidRDefault="005279B6" w:rsidP="005279B6">
      <w:pPr>
        <w:jc w:val="both"/>
      </w:pPr>
    </w:p>
    <w:p w:rsidR="009E1F93" w:rsidRDefault="009E1F93" w:rsidP="005279B6">
      <w:pPr>
        <w:jc w:val="both"/>
        <w:rPr>
          <w:sz w:val="18"/>
        </w:rPr>
      </w:pPr>
    </w:p>
    <w:tbl>
      <w:tblPr>
        <w:tblW w:w="9210" w:type="dxa"/>
        <w:tblInd w:w="108" w:type="dxa"/>
        <w:tblLayout w:type="fixed"/>
        <w:tblLook w:val="04A0" w:firstRow="1" w:lastRow="0" w:firstColumn="1" w:lastColumn="0" w:noHBand="0" w:noVBand="1"/>
      </w:tblPr>
      <w:tblGrid>
        <w:gridCol w:w="4109"/>
        <w:gridCol w:w="5101"/>
      </w:tblGrid>
      <w:tr w:rsidR="009E1F93" w:rsidTr="009E1F93">
        <w:tc>
          <w:tcPr>
            <w:tcW w:w="4111" w:type="dxa"/>
            <w:hideMark/>
          </w:tcPr>
          <w:p w:rsidR="009E1F93" w:rsidRDefault="009E1F93">
            <w:pPr>
              <w:rPr>
                <w:b/>
                <w:i/>
                <w:sz w:val="24"/>
              </w:rPr>
            </w:pPr>
            <w:r>
              <w:rPr>
                <w:b/>
                <w:i/>
                <w:sz w:val="24"/>
              </w:rPr>
              <w:t>Nơi nhận:</w:t>
            </w:r>
          </w:p>
          <w:p w:rsidR="009E1F93" w:rsidRDefault="009E1F93">
            <w:pPr>
              <w:ind w:left="312" w:hanging="136"/>
              <w:jc w:val="both"/>
              <w:rPr>
                <w:sz w:val="24"/>
              </w:rPr>
            </w:pPr>
            <w:r>
              <w:rPr>
                <w:sz w:val="24"/>
              </w:rPr>
              <w:t>- Như trên;</w:t>
            </w:r>
          </w:p>
          <w:p w:rsidR="00AB7A0F" w:rsidRDefault="00AB7A0F">
            <w:pPr>
              <w:ind w:left="312" w:hanging="136"/>
              <w:jc w:val="both"/>
              <w:rPr>
                <w:sz w:val="24"/>
              </w:rPr>
            </w:pPr>
            <w:r>
              <w:rPr>
                <w:sz w:val="24"/>
              </w:rPr>
              <w:t>- TT Lê Quang Hùng (để b/c);</w:t>
            </w:r>
          </w:p>
          <w:p w:rsidR="009E1F93" w:rsidRDefault="009E1F93" w:rsidP="005279B6">
            <w:pPr>
              <w:ind w:left="312" w:hanging="136"/>
              <w:jc w:val="both"/>
              <w:rPr>
                <w:b/>
                <w:sz w:val="24"/>
              </w:rPr>
            </w:pPr>
            <w:r>
              <w:rPr>
                <w:sz w:val="24"/>
              </w:rPr>
              <w:t>- Lưu: VT</w:t>
            </w:r>
            <w:r>
              <w:rPr>
                <w:sz w:val="24"/>
                <w:lang w:val="vi-VN"/>
              </w:rPr>
              <w:t xml:space="preserve">, </w:t>
            </w:r>
            <w:r>
              <w:rPr>
                <w:sz w:val="24"/>
              </w:rPr>
              <w:t>HĐXD</w:t>
            </w:r>
            <w:r w:rsidR="005279B6">
              <w:rPr>
                <w:sz w:val="24"/>
              </w:rPr>
              <w:t xml:space="preserve"> (NLĐ-04)</w:t>
            </w:r>
            <w:r>
              <w:rPr>
                <w:sz w:val="24"/>
              </w:rPr>
              <w:t>.</w:t>
            </w:r>
          </w:p>
        </w:tc>
        <w:tc>
          <w:tcPr>
            <w:tcW w:w="5103" w:type="dxa"/>
          </w:tcPr>
          <w:p w:rsidR="009E1F93" w:rsidRDefault="00AB7A0F">
            <w:pPr>
              <w:jc w:val="center"/>
              <w:rPr>
                <w:b/>
              </w:rPr>
            </w:pPr>
            <w:r>
              <w:rPr>
                <w:b/>
              </w:rPr>
              <w:t>TL</w:t>
            </w:r>
            <w:r w:rsidR="009E1F93">
              <w:rPr>
                <w:b/>
              </w:rPr>
              <w:t>. BỘ TRƯỞNG</w:t>
            </w:r>
          </w:p>
          <w:p w:rsidR="009E1F93" w:rsidRDefault="00AB7A0F">
            <w:pPr>
              <w:jc w:val="center"/>
              <w:rPr>
                <w:b/>
              </w:rPr>
            </w:pPr>
            <w:r>
              <w:rPr>
                <w:b/>
              </w:rPr>
              <w:t>KT. CỤC</w:t>
            </w:r>
            <w:r w:rsidR="005279B6">
              <w:rPr>
                <w:b/>
              </w:rPr>
              <w:t xml:space="preserve"> </w:t>
            </w:r>
            <w:r w:rsidR="009E1F93">
              <w:rPr>
                <w:b/>
              </w:rPr>
              <w:t>TRƯỞNG</w:t>
            </w:r>
            <w:r>
              <w:rPr>
                <w:b/>
              </w:rPr>
              <w:t xml:space="preserve"> CỤC QUẢN LÝ HOẠT ĐỘNG XÂY DỰNG</w:t>
            </w:r>
            <w:r>
              <w:rPr>
                <w:b/>
              </w:rPr>
              <w:br/>
              <w:t>PHÓ CỤC TRƯỞNG</w:t>
            </w:r>
          </w:p>
          <w:p w:rsidR="009E1F93" w:rsidRDefault="009E1F93">
            <w:pPr>
              <w:jc w:val="center"/>
              <w:rPr>
                <w:b/>
                <w:sz w:val="30"/>
              </w:rPr>
            </w:pPr>
          </w:p>
          <w:p w:rsidR="009E1F93" w:rsidRDefault="009E1F93">
            <w:pPr>
              <w:jc w:val="center"/>
              <w:rPr>
                <w:b/>
                <w:sz w:val="30"/>
              </w:rPr>
            </w:pPr>
          </w:p>
          <w:p w:rsidR="00245394" w:rsidRPr="006B7A2E" w:rsidRDefault="00245394" w:rsidP="006B7A2E">
            <w:pPr>
              <w:spacing w:before="120" w:after="120"/>
              <w:jc w:val="center"/>
            </w:pPr>
            <w:r w:rsidRPr="006B7A2E">
              <w:t>(đã ký)</w:t>
            </w:r>
          </w:p>
          <w:p w:rsidR="009E1F93" w:rsidRDefault="00245394">
            <w:pPr>
              <w:jc w:val="center"/>
              <w:rPr>
                <w:b/>
              </w:rPr>
            </w:pPr>
            <w:r>
              <w:rPr>
                <w:b/>
              </w:rPr>
              <w:t xml:space="preserve"> </w:t>
            </w:r>
            <w:bookmarkStart w:id="0" w:name="_GoBack"/>
            <w:bookmarkEnd w:id="0"/>
          </w:p>
          <w:p w:rsidR="009E1F93" w:rsidRDefault="009E1F93">
            <w:pPr>
              <w:jc w:val="center"/>
              <w:rPr>
                <w:b/>
              </w:rPr>
            </w:pPr>
          </w:p>
          <w:p w:rsidR="009E1F93" w:rsidRDefault="009E1F93">
            <w:pPr>
              <w:jc w:val="center"/>
              <w:rPr>
                <w:b/>
                <w:sz w:val="12"/>
              </w:rPr>
            </w:pPr>
          </w:p>
          <w:p w:rsidR="009E1F93" w:rsidRDefault="00AB7A0F">
            <w:pPr>
              <w:jc w:val="center"/>
              <w:rPr>
                <w:b/>
              </w:rPr>
            </w:pPr>
            <w:r>
              <w:rPr>
                <w:b/>
              </w:rPr>
              <w:t>Bùi Văn Dưỡng</w:t>
            </w:r>
          </w:p>
        </w:tc>
      </w:tr>
    </w:tbl>
    <w:p w:rsidR="009E1F93" w:rsidRDefault="009E1F93" w:rsidP="009E1F93"/>
    <w:p w:rsidR="007A4772" w:rsidRDefault="007A4772"/>
    <w:sectPr w:rsidR="007A4772" w:rsidSect="005C69D6">
      <w:pgSz w:w="11907" w:h="16840" w:code="9"/>
      <w:pgMar w:top="1134" w:right="1418"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2FD5"/>
    <w:multiLevelType w:val="hybridMultilevel"/>
    <w:tmpl w:val="6436C76E"/>
    <w:lvl w:ilvl="0" w:tplc="8DA8E36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F93"/>
    <w:rsid w:val="000C33E6"/>
    <w:rsid w:val="00245394"/>
    <w:rsid w:val="00375A56"/>
    <w:rsid w:val="00505723"/>
    <w:rsid w:val="005279B6"/>
    <w:rsid w:val="005C69D6"/>
    <w:rsid w:val="007A4772"/>
    <w:rsid w:val="008731E1"/>
    <w:rsid w:val="008D1C7C"/>
    <w:rsid w:val="00990D45"/>
    <w:rsid w:val="009E1F93"/>
    <w:rsid w:val="00AB6E99"/>
    <w:rsid w:val="00AB7A0F"/>
    <w:rsid w:val="00CE4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F93"/>
    <w:pPr>
      <w:spacing w:after="0" w:line="240" w:lineRule="auto"/>
    </w:pPr>
    <w:rPr>
      <w:rFonts w:eastAsia="Times New Roman" w:cs="Times New Roman"/>
      <w:szCs w:val="24"/>
    </w:rPr>
  </w:style>
  <w:style w:type="paragraph" w:styleId="Heading2">
    <w:name w:val="heading 2"/>
    <w:basedOn w:val="Normal"/>
    <w:next w:val="Normal"/>
    <w:link w:val="Heading2Char"/>
    <w:semiHidden/>
    <w:unhideWhenUsed/>
    <w:qFormat/>
    <w:rsid w:val="009E1F93"/>
    <w:pPr>
      <w:keepNext/>
      <w:jc w:val="center"/>
      <w:outlineLvl w:val="1"/>
    </w:pPr>
    <w:rPr>
      <w:rFonts w:ascii=".VnTimeH" w:hAnsi=".VnTimeH"/>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E1F93"/>
    <w:rPr>
      <w:rFonts w:ascii=".VnTimeH" w:eastAsia="Times New Roman" w:hAnsi=".VnTimeH" w:cs="Times New Roman"/>
      <w:b/>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F93"/>
    <w:pPr>
      <w:spacing w:after="0" w:line="240" w:lineRule="auto"/>
    </w:pPr>
    <w:rPr>
      <w:rFonts w:eastAsia="Times New Roman" w:cs="Times New Roman"/>
      <w:szCs w:val="24"/>
    </w:rPr>
  </w:style>
  <w:style w:type="paragraph" w:styleId="Heading2">
    <w:name w:val="heading 2"/>
    <w:basedOn w:val="Normal"/>
    <w:next w:val="Normal"/>
    <w:link w:val="Heading2Char"/>
    <w:semiHidden/>
    <w:unhideWhenUsed/>
    <w:qFormat/>
    <w:rsid w:val="009E1F93"/>
    <w:pPr>
      <w:keepNext/>
      <w:jc w:val="center"/>
      <w:outlineLvl w:val="1"/>
    </w:pPr>
    <w:rPr>
      <w:rFonts w:ascii=".VnTimeH" w:hAnsi=".VnTimeH"/>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E1F93"/>
    <w:rPr>
      <w:rFonts w:ascii=".VnTimeH" w:eastAsia="Times New Roman" w:hAnsi=".VnTimeH" w:cs="Times New Roman"/>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01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C858B-5186-4FBE-BF93-C8526152A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CIC</cp:lastModifiedBy>
  <cp:revision>4</cp:revision>
  <cp:lastPrinted>2018-10-08T09:10:00Z</cp:lastPrinted>
  <dcterms:created xsi:type="dcterms:W3CDTF">2018-10-15T02:18:00Z</dcterms:created>
  <dcterms:modified xsi:type="dcterms:W3CDTF">2018-10-15T02:26:00Z</dcterms:modified>
</cp:coreProperties>
</file>