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00" w:firstRow="0" w:lastRow="0" w:firstColumn="0" w:lastColumn="0" w:noHBand="0" w:noVBand="0"/>
      </w:tblPr>
      <w:tblGrid>
        <w:gridCol w:w="3544"/>
        <w:gridCol w:w="5812"/>
      </w:tblGrid>
      <w:tr w:rsidR="007F3813" w:rsidRPr="005508AC" w:rsidTr="005D1F46">
        <w:trPr>
          <w:trHeight w:val="1560"/>
        </w:trPr>
        <w:tc>
          <w:tcPr>
            <w:tcW w:w="3544" w:type="dxa"/>
          </w:tcPr>
          <w:p w:rsidR="007F3813" w:rsidRPr="005508AC" w:rsidRDefault="005745EE"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675005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6.45pt" to="105.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BZLhPg3QAAAAkBAAAPAAAAZHJzL2Rvd25yZXYueG1sTI/BTsMwEETvSPyD&#10;tUjcqJ2kqmiIU1UIuCAhUQJnJ94mUeN1FLtp+HuWExxn9ml2ptgtbhAzTqH3pCFZKRBIjbc9tRqq&#10;j+e7exAhGrJm8IQavjHArry+Kkxu/YXecT7EVnAIhdxo6GIccylD06EzYeVHJL4d/eRMZDm10k7m&#10;wuFukKlSG+lMT/yhMyM+dticDmenYf/1+pS9zbXzg9221ad1lXpJtb69WfYPICIu8Q+G3/pcHUru&#10;VPsz2SAG1mqTMaohS7cgGEiThLfUbKzXIMtC/l9Q/gAAAP//AwBQSwECLQAUAAYACAAAACEAtoM4&#10;kv4AAADhAQAAEwAAAAAAAAAAAAAAAAAAAAAAW0NvbnRlbnRfVHlwZXNdLnhtbFBLAQItABQABgAI&#10;AAAAIQA4/SH/1gAAAJQBAAALAAAAAAAAAAAAAAAAAC8BAABfcmVscy8ucmVsc1BLAQItABQABgAI&#10;AAAAIQCw3SDuGgIAADUEAAAOAAAAAAAAAAAAAAAAAC4CAABkcnMvZTJvRG9jLnhtbFBLAQItABQA&#10;BgAIAAAAIQBZLhPg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020052" w:rsidRDefault="000009AF" w:rsidP="00215C9A">
            <w:pPr>
              <w:pStyle w:val="Heading1"/>
              <w:spacing w:before="180" w:after="0"/>
              <w:jc w:val="center"/>
              <w:rPr>
                <w:rFonts w:ascii="Times New Roman" w:hAnsi="Times New Roman"/>
                <w:b w:val="0"/>
                <w:sz w:val="28"/>
                <w:szCs w:val="28"/>
              </w:rPr>
            </w:pPr>
            <w:bookmarkStart w:id="0" w:name="_GoBack"/>
            <w:bookmarkEnd w:id="0"/>
            <w:r>
              <w:rPr>
                <w:rFonts w:ascii="Times New Roman" w:hAnsi="Times New Roman"/>
                <w:b w:val="0"/>
                <w:sz w:val="28"/>
                <w:szCs w:val="28"/>
              </w:rPr>
              <w:t>Số: 2409</w:t>
            </w:r>
            <w:r w:rsidR="007F3813" w:rsidRPr="00020052">
              <w:rPr>
                <w:rFonts w:ascii="Times New Roman" w:hAnsi="Times New Roman"/>
                <w:b w:val="0"/>
                <w:sz w:val="28"/>
                <w:szCs w:val="28"/>
              </w:rPr>
              <w:t>/BXD-KTXD</w:t>
            </w:r>
          </w:p>
          <w:p w:rsidR="007F3813" w:rsidRPr="0090429C" w:rsidRDefault="007F3813" w:rsidP="005B4E3C">
            <w:pPr>
              <w:spacing w:before="40"/>
              <w:jc w:val="center"/>
              <w:rPr>
                <w:rFonts w:ascii="Times New Roman" w:hAnsi="Times New Roman"/>
                <w:sz w:val="24"/>
                <w:szCs w:val="24"/>
              </w:rPr>
            </w:pPr>
            <w:r>
              <w:rPr>
                <w:rFonts w:ascii="Times New Roman" w:hAnsi="Times New Roman"/>
                <w:sz w:val="24"/>
                <w:szCs w:val="24"/>
              </w:rPr>
              <w:t xml:space="preserve">V/v </w:t>
            </w:r>
            <w:r w:rsidR="005D1F46">
              <w:rPr>
                <w:rFonts w:ascii="Times New Roman" w:hAnsi="Times New Roman"/>
                <w:sz w:val="24"/>
                <w:szCs w:val="24"/>
              </w:rPr>
              <w:t>một số khó khăn, vướng mắc trong công tác công bố giá vật liệu xây dựng trên địa bàn thành phố Hồ Chí Minh</w:t>
            </w:r>
          </w:p>
        </w:tc>
        <w:tc>
          <w:tcPr>
            <w:tcW w:w="581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5745EE"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732155</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5.4pt" to="22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masoMtwAAAAJAQAADwAAAGRycy9kb3ducmV2LnhtbEyPwU7DMBBE70j8g7VIXCrqpKEV&#10;CnEqBOTGhULFdRsvSUS8TmO3DXw9izjAcWafZmeK9eR6daQxdJ4NpPMEFHHtbceNgdeX6uoGVIjI&#10;FnvPZOCTAqzL87MCc+tP/EzHTWyUhHDI0UAb45BrHeqWHIa5H4jl9u5Hh1Hk2Gg74knCXa8XSbLS&#10;DjuWDy0OdN9S/bE5OAOh2tK++prVs+Qtazwt9g9Pj2jM5cV0dwsq0hT/YPipL9WhlE47f2AbVC86&#10;XWaCGsgSmSDA9TIVY/dr6LLQ/xeU3wAAAP//AwBQSwECLQAUAAYACAAAACEAtoM4kv4AAADhAQAA&#10;EwAAAAAAAAAAAAAAAAAAAAAAW0NvbnRlbnRfVHlwZXNdLnhtbFBLAQItABQABgAIAAAAIQA4/SH/&#10;1gAAAJQBAAALAAAAAAAAAAAAAAAAAC8BAABfcmVscy8ucmVsc1BLAQItABQABgAIAAAAIQCElgkv&#10;EgIAACkEAAAOAAAAAAAAAAAAAAAAAC4CAABkcnMvZTJvRG9jLnhtbFBLAQItABQABgAIAAAAIQCZ&#10;qygy3AAAAAk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0009AF">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0009AF">
              <w:rPr>
                <w:rFonts w:ascii="Times New Roman" w:hAnsi="Times New Roman"/>
                <w:b w:val="0"/>
                <w:i/>
                <w:szCs w:val="28"/>
              </w:rPr>
              <w:t xml:space="preserve"> 26 </w:t>
            </w:r>
            <w:r w:rsidRPr="00020052">
              <w:rPr>
                <w:rFonts w:ascii="Times New Roman" w:hAnsi="Times New Roman"/>
                <w:b w:val="0"/>
                <w:i/>
                <w:szCs w:val="28"/>
              </w:rPr>
              <w:t xml:space="preserve"> tháng  </w:t>
            </w:r>
            <w:r w:rsidR="000009AF">
              <w:rPr>
                <w:rFonts w:ascii="Times New Roman" w:hAnsi="Times New Roman"/>
                <w:b w:val="0"/>
                <w:i/>
                <w:szCs w:val="28"/>
              </w:rPr>
              <w:t>9</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3A47F2">
      <w:pPr>
        <w:spacing w:before="480" w:after="36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5D1F46">
        <w:rPr>
          <w:rFonts w:ascii="Times New Roman" w:hAnsi="Times New Roman"/>
          <w:spacing w:val="-4"/>
        </w:rPr>
        <w:t>Sở Xây dựng thành phố Hồ Chí Minh</w:t>
      </w:r>
    </w:p>
    <w:p w:rsidR="00311297" w:rsidRPr="003A47F2" w:rsidRDefault="007C78ED" w:rsidP="003A47F2">
      <w:pPr>
        <w:spacing w:before="120" w:after="120" w:line="330" w:lineRule="exact"/>
        <w:ind w:firstLine="720"/>
        <w:jc w:val="both"/>
        <w:rPr>
          <w:rFonts w:ascii="Times New Roman" w:hAnsi="Times New Roman"/>
        </w:rPr>
      </w:pPr>
      <w:r w:rsidRPr="003A47F2">
        <w:rPr>
          <w:rFonts w:ascii="Times New Roman" w:hAnsi="Times New Roman"/>
        </w:rPr>
        <w:t xml:space="preserve">Bộ Xây dựng nhận được </w:t>
      </w:r>
      <w:r w:rsidR="00F7301F" w:rsidRPr="003A47F2">
        <w:rPr>
          <w:rFonts w:ascii="Times New Roman" w:hAnsi="Times New Roman"/>
        </w:rPr>
        <w:t xml:space="preserve">văn bản </w:t>
      </w:r>
      <w:r w:rsidR="00576224" w:rsidRPr="003A47F2">
        <w:rPr>
          <w:rFonts w:ascii="Times New Roman" w:hAnsi="Times New Roman"/>
        </w:rPr>
        <w:t xml:space="preserve">số </w:t>
      </w:r>
      <w:r w:rsidR="005D1F46" w:rsidRPr="003A47F2">
        <w:rPr>
          <w:rFonts w:ascii="Times New Roman" w:hAnsi="Times New Roman"/>
        </w:rPr>
        <w:t>8831/SXD-VLXD ngày 30/7/2018 của Sở X</w:t>
      </w:r>
      <w:r w:rsidR="004614AA" w:rsidRPr="003A47F2">
        <w:rPr>
          <w:rFonts w:ascii="Times New Roman" w:hAnsi="Times New Roman"/>
        </w:rPr>
        <w:t xml:space="preserve">ây dựng thành phố Hồ Chí Minh về một số khó khăn, vướng mắc trong công tác công bố giá vật liệu xây dựng trên địa bàn thành phố Hồ Chí Minh. </w:t>
      </w:r>
      <w:r w:rsidR="00530B83" w:rsidRPr="003A47F2">
        <w:rPr>
          <w:rFonts w:ascii="Times New Roman" w:hAnsi="Times New Roman"/>
        </w:rPr>
        <w:t xml:space="preserve">Sau </w:t>
      </w:r>
      <w:r w:rsidR="00914A8D" w:rsidRPr="003A47F2">
        <w:rPr>
          <w:rFonts w:ascii="Times New Roman" w:hAnsi="Times New Roman"/>
        </w:rPr>
        <w:t xml:space="preserve">khi </w:t>
      </w:r>
      <w:r w:rsidR="00714BA5" w:rsidRPr="003A47F2">
        <w:rPr>
          <w:rFonts w:ascii="Times New Roman" w:hAnsi="Times New Roman"/>
        </w:rPr>
        <w:t>xem xét</w:t>
      </w:r>
      <w:r w:rsidR="00914A8D" w:rsidRPr="003A47F2">
        <w:rPr>
          <w:rFonts w:ascii="Times New Roman" w:hAnsi="Times New Roman"/>
        </w:rPr>
        <w:t>, Bộ Xây dựng có ý kiến như sau:</w:t>
      </w:r>
    </w:p>
    <w:p w:rsidR="004614AA" w:rsidRPr="003A47F2" w:rsidRDefault="00935DCA" w:rsidP="003A47F2">
      <w:pPr>
        <w:spacing w:before="120" w:after="120" w:line="330" w:lineRule="exact"/>
        <w:ind w:firstLine="720"/>
        <w:jc w:val="both"/>
        <w:rPr>
          <w:rFonts w:ascii="Times New Roman" w:hAnsi="Times New Roman"/>
        </w:rPr>
      </w:pPr>
      <w:r w:rsidRPr="003A47F2">
        <w:rPr>
          <w:rFonts w:ascii="Times New Roman" w:hAnsi="Times New Roman"/>
        </w:rPr>
        <w:t>1. Về vật liệu phổ biến được công bố giá</w:t>
      </w:r>
    </w:p>
    <w:p w:rsidR="00C456C0" w:rsidRPr="003A47F2" w:rsidRDefault="00641FD3" w:rsidP="003A47F2">
      <w:pPr>
        <w:spacing w:before="120" w:after="120" w:line="330" w:lineRule="exact"/>
        <w:ind w:firstLine="720"/>
        <w:jc w:val="both"/>
        <w:rPr>
          <w:rFonts w:ascii="Times New Roman" w:hAnsi="Times New Roman"/>
        </w:rPr>
      </w:pPr>
      <w:r w:rsidRPr="003A47F2">
        <w:rPr>
          <w:rFonts w:ascii="Times New Roman" w:hAnsi="Times New Roman"/>
        </w:rPr>
        <w:t>Theo quy định tại Khoản 2 Điều 36 Nghị định số 32/2015/NĐ-CP ngày 25/3/2015 của Chính phủ về quản lý chi phí đầu tư xây dựng</w:t>
      </w:r>
      <w:r w:rsidR="00336591" w:rsidRPr="003A47F2">
        <w:rPr>
          <w:rFonts w:ascii="Times New Roman" w:hAnsi="Times New Roman"/>
        </w:rPr>
        <w:t xml:space="preserve"> và Điều 19 Thông tư số 06/2010/TT-BXD ngày 10/3/2016 của Bộ Xây dựng hướng dẫn xác định và quản lý chi phí đầu tư xây dựng</w:t>
      </w:r>
      <w:r w:rsidRPr="003A47F2">
        <w:rPr>
          <w:rFonts w:ascii="Times New Roman" w:hAnsi="Times New Roman"/>
        </w:rPr>
        <w:t xml:space="preserve">, thì Ủy ban nhân dân cấp tỉnh có trách nhiệm </w:t>
      </w:r>
      <w:r w:rsidR="00336591" w:rsidRPr="003A47F2">
        <w:rPr>
          <w:rFonts w:ascii="Times New Roman" w:hAnsi="Times New Roman"/>
        </w:rPr>
        <w:t>công bố giá vật liệu xây dựng phù hợp với mặt bằng giá thị trường tại địa phương; cụ thể Ủy ban nhân dân cấp tỉnh giao Sở Xây dựng chủ trì, phối hợp với các cơ quan có liên quan xác định và công bố giá vật liệu xây dựng làm cơ sở quản lý giá xây dựng công trình trên địa bàn.</w:t>
      </w:r>
    </w:p>
    <w:p w:rsidR="00336591" w:rsidRPr="003A47F2" w:rsidRDefault="00336591" w:rsidP="003A47F2">
      <w:pPr>
        <w:spacing w:before="120" w:after="120" w:line="330" w:lineRule="exact"/>
        <w:ind w:firstLine="720"/>
        <w:jc w:val="both"/>
        <w:rPr>
          <w:rFonts w:ascii="Times New Roman" w:hAnsi="Times New Roman"/>
          <w:spacing w:val="-2"/>
        </w:rPr>
      </w:pPr>
      <w:r w:rsidRPr="003A47F2">
        <w:rPr>
          <w:rFonts w:ascii="Times New Roman" w:hAnsi="Times New Roman"/>
          <w:spacing w:val="-2"/>
        </w:rPr>
        <w:t>Do đó, việc lựa chọn danh mục</w:t>
      </w:r>
      <w:r w:rsidR="00A71AB3" w:rsidRPr="003A47F2">
        <w:rPr>
          <w:rFonts w:ascii="Times New Roman" w:hAnsi="Times New Roman"/>
          <w:spacing w:val="-2"/>
        </w:rPr>
        <w:t xml:space="preserve"> vật tư, vật liệu xây dựng để công bố giá thuộc thẩm quyền của Ủy ban nhân dân thành phố Hồ Chí Minh. Bộ Xây dựng lưu ý, danh mục vật tư, vật liệu xây dựng được công bố phải đảm bảo tính phổ biến, tính thị trường, tính đa dạng, tính thống nhất </w:t>
      </w:r>
      <w:r w:rsidR="003A47F2" w:rsidRPr="003A47F2">
        <w:rPr>
          <w:rFonts w:ascii="Times New Roman" w:hAnsi="Times New Roman"/>
          <w:spacing w:val="-2"/>
        </w:rPr>
        <w:t xml:space="preserve">và </w:t>
      </w:r>
      <w:r w:rsidRPr="003A47F2">
        <w:rPr>
          <w:rFonts w:ascii="Times New Roman" w:hAnsi="Times New Roman"/>
          <w:spacing w:val="-2"/>
        </w:rPr>
        <w:t xml:space="preserve">phù hợp với </w:t>
      </w:r>
      <w:r w:rsidR="003F6D4C" w:rsidRPr="003A47F2">
        <w:rPr>
          <w:rFonts w:ascii="Times New Roman" w:hAnsi="Times New Roman"/>
          <w:spacing w:val="-2"/>
        </w:rPr>
        <w:t>điều kiện thực tế tại địa phương</w:t>
      </w:r>
      <w:r w:rsidRPr="003A47F2">
        <w:rPr>
          <w:rFonts w:ascii="Times New Roman" w:hAnsi="Times New Roman"/>
          <w:spacing w:val="-2"/>
        </w:rPr>
        <w:t xml:space="preserve">, </w:t>
      </w:r>
      <w:r w:rsidR="003A47F2" w:rsidRPr="003A47F2">
        <w:rPr>
          <w:rFonts w:ascii="Times New Roman" w:hAnsi="Times New Roman"/>
          <w:spacing w:val="-2"/>
        </w:rPr>
        <w:t xml:space="preserve">nhằm mục tiêu nâng cao hiệu quả công tác quản lý chi phí đầu tư xây dựng và hạn chế </w:t>
      </w:r>
      <w:r w:rsidRPr="003A47F2">
        <w:rPr>
          <w:rFonts w:ascii="Times New Roman" w:hAnsi="Times New Roman"/>
          <w:spacing w:val="-2"/>
        </w:rPr>
        <w:t xml:space="preserve">thất thoát, lãng </w:t>
      </w:r>
      <w:r w:rsidR="003F6D4C" w:rsidRPr="003A47F2">
        <w:rPr>
          <w:rFonts w:ascii="Times New Roman" w:hAnsi="Times New Roman"/>
          <w:spacing w:val="-2"/>
        </w:rPr>
        <w:t>phí trong đầu tư xây dựng</w:t>
      </w:r>
      <w:r w:rsidR="003A47F2" w:rsidRPr="003A47F2">
        <w:rPr>
          <w:rFonts w:ascii="Times New Roman" w:hAnsi="Times New Roman"/>
          <w:spacing w:val="-2"/>
        </w:rPr>
        <w:t xml:space="preserve"> tại địa phương</w:t>
      </w:r>
      <w:r w:rsidR="003F6D4C" w:rsidRPr="003A47F2">
        <w:rPr>
          <w:rFonts w:ascii="Times New Roman" w:hAnsi="Times New Roman"/>
          <w:spacing w:val="-2"/>
        </w:rPr>
        <w:t>.</w:t>
      </w:r>
    </w:p>
    <w:p w:rsidR="003F6D4C" w:rsidRPr="003A47F2" w:rsidRDefault="003F6D4C" w:rsidP="003A47F2">
      <w:pPr>
        <w:spacing w:before="120" w:after="120" w:line="330" w:lineRule="exact"/>
        <w:ind w:firstLine="720"/>
        <w:jc w:val="both"/>
        <w:rPr>
          <w:rFonts w:ascii="Times New Roman" w:hAnsi="Times New Roman"/>
        </w:rPr>
      </w:pPr>
      <w:r w:rsidRPr="003A47F2">
        <w:rPr>
          <w:rFonts w:ascii="Times New Roman" w:hAnsi="Times New Roman"/>
        </w:rPr>
        <w:t xml:space="preserve">2. </w:t>
      </w:r>
      <w:r w:rsidR="007A0747" w:rsidRPr="003A47F2">
        <w:rPr>
          <w:rFonts w:ascii="Times New Roman" w:hAnsi="Times New Roman"/>
        </w:rPr>
        <w:t>Về việ</w:t>
      </w:r>
      <w:r w:rsidR="002D28DF" w:rsidRPr="003A47F2">
        <w:rPr>
          <w:rFonts w:ascii="Times New Roman" w:hAnsi="Times New Roman"/>
        </w:rPr>
        <w:t>c thực hiện công bố giá vật liệu xây dựng</w:t>
      </w:r>
    </w:p>
    <w:p w:rsidR="003F6D4C" w:rsidRPr="00F96269" w:rsidRDefault="002D28DF" w:rsidP="003A47F2">
      <w:pPr>
        <w:spacing w:before="120" w:after="120" w:line="330" w:lineRule="exact"/>
        <w:ind w:firstLine="720"/>
        <w:jc w:val="both"/>
        <w:rPr>
          <w:rFonts w:ascii="Times New Roman" w:hAnsi="Times New Roman"/>
          <w:spacing w:val="2"/>
        </w:rPr>
      </w:pPr>
      <w:r w:rsidRPr="00F96269">
        <w:rPr>
          <w:rFonts w:ascii="Times New Roman" w:hAnsi="Times New Roman"/>
          <w:spacing w:val="2"/>
        </w:rPr>
        <w:t>Bộ Xây dựng thống nhất với đề xuất của Sở Xây dựng thành phố Hồ Chí Minh về việc thực hiện công bố giá đối với các mặt hàng vật liệu</w:t>
      </w:r>
      <w:r w:rsidR="003A47F2" w:rsidRPr="00F96269">
        <w:rPr>
          <w:rFonts w:ascii="Times New Roman" w:hAnsi="Times New Roman"/>
          <w:spacing w:val="2"/>
        </w:rPr>
        <w:t xml:space="preserve"> xây dựng đặc thù là khoáng sản. Đối với những vật tư, vật liệu xây dựng khó thu thập thông tin giá thị trường, có thể </w:t>
      </w:r>
      <w:r w:rsidRPr="00F96269">
        <w:rPr>
          <w:rFonts w:ascii="Times New Roman" w:hAnsi="Times New Roman"/>
          <w:spacing w:val="2"/>
        </w:rPr>
        <w:t xml:space="preserve">thực hiện công bố giá tại địa điểm sản xuất, kinh doanh sản phẩm, hàng hóa vật liệu xây dựng (chưa tính cự ly vận chuyển) như nêu tại văn bản số </w:t>
      </w:r>
      <w:r w:rsidR="007A0747" w:rsidRPr="00F96269">
        <w:rPr>
          <w:rFonts w:ascii="Times New Roman" w:hAnsi="Times New Roman"/>
          <w:spacing w:val="2"/>
        </w:rPr>
        <w:t>8831/SXD-VLXD</w:t>
      </w:r>
      <w:r w:rsidRPr="00F96269">
        <w:rPr>
          <w:rFonts w:ascii="Times New Roman" w:hAnsi="Times New Roman"/>
          <w:spacing w:val="2"/>
        </w:rPr>
        <w:t>.</w:t>
      </w:r>
      <w:r w:rsidR="003A47F2" w:rsidRPr="00F96269">
        <w:rPr>
          <w:rFonts w:ascii="Times New Roman" w:hAnsi="Times New Roman"/>
          <w:spacing w:val="2"/>
        </w:rPr>
        <w:t xml:space="preserve"> Tuy nhiên, để công bố vật liệu xây dựng của địa phương thực sự phát huy hiệu quả, đề nghị Sở Xây dựng kiến nghị Ủy ban nhân dân thành phố giao </w:t>
      </w:r>
      <w:r w:rsidR="00F96269" w:rsidRPr="00F96269">
        <w:rPr>
          <w:rFonts w:ascii="Times New Roman" w:hAnsi="Times New Roman"/>
          <w:spacing w:val="2"/>
        </w:rPr>
        <w:t xml:space="preserve">cơ quan chuyên môn có thẩm quyền phù hợp </w:t>
      </w:r>
      <w:r w:rsidR="003A47F2" w:rsidRPr="00F96269">
        <w:rPr>
          <w:rFonts w:ascii="Times New Roman" w:hAnsi="Times New Roman"/>
          <w:spacing w:val="2"/>
        </w:rPr>
        <w:t>công bố cước vận tải hoặc chi phí vận chuyển theo loại đường, cự ly vận chuyển, phương tiện vận chuyển… làm căn cứ xác định giá vật liệu xây dựng đến hiện trường xây lắp.</w:t>
      </w:r>
    </w:p>
    <w:p w:rsidR="000F48DB" w:rsidRPr="00B94199" w:rsidRDefault="00BF1AA3" w:rsidP="005B4E3C">
      <w:pPr>
        <w:spacing w:before="60" w:after="60" w:line="320" w:lineRule="exact"/>
        <w:ind w:left="131"/>
        <w:jc w:val="both"/>
        <w:rPr>
          <w:rFonts w:ascii="Times New Roman" w:hAnsi="Times New Roman"/>
          <w:spacing w:val="-4"/>
        </w:rPr>
      </w:pPr>
      <w:r>
        <w:rPr>
          <w:rFonts w:ascii="Times New Roman" w:hAnsi="Times New Roman"/>
          <w:bCs/>
        </w:rPr>
        <w:lastRenderedPageBreak/>
        <w:tab/>
      </w:r>
      <w:r w:rsidR="00853505">
        <w:rPr>
          <w:rFonts w:ascii="Times New Roman" w:hAnsi="Times New Roman"/>
          <w:bCs/>
        </w:rPr>
        <w:t>Sở Xây dựng t</w:t>
      </w:r>
      <w:r w:rsidR="004614AA">
        <w:rPr>
          <w:rFonts w:ascii="Times New Roman" w:hAnsi="Times New Roman"/>
          <w:bCs/>
        </w:rPr>
        <w:t xml:space="preserve">hành phố Hồ Chí Minh </w:t>
      </w:r>
      <w:r w:rsidR="000F48DB">
        <w:rPr>
          <w:rFonts w:ascii="Times New Roman" w:hAnsi="Times New Roman"/>
          <w:bCs/>
          <w:spacing w:val="-4"/>
        </w:rPr>
        <w:t>că</w:t>
      </w:r>
      <w:r w:rsidR="000F48DB" w:rsidRPr="00B94199">
        <w:rPr>
          <w:rFonts w:ascii="Times New Roman" w:hAnsi="Times New Roman"/>
          <w:bCs/>
          <w:spacing w:val="-4"/>
        </w:rPr>
        <w:t>n cứ ý kiến</w:t>
      </w:r>
      <w:r w:rsidR="002D28DF">
        <w:rPr>
          <w:rFonts w:ascii="Times New Roman" w:hAnsi="Times New Roman"/>
          <w:bCs/>
          <w:spacing w:val="-4"/>
        </w:rPr>
        <w:t xml:space="preserve"> nêu trên, báo cáo Ủy ban nhân dân thành phố</w:t>
      </w:r>
      <w:r w:rsidR="000F48DB" w:rsidRPr="00B94199">
        <w:rPr>
          <w:rFonts w:ascii="Times New Roman" w:hAnsi="Times New Roman"/>
          <w:bCs/>
          <w:spacing w:val="-4"/>
        </w:rPr>
        <w:t xml:space="preserve"> để tổ chức thực hiện theo quy định</w:t>
      </w:r>
      <w:r w:rsidR="000F48DB"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0009AF" w:rsidRPr="00126A80" w:rsidTr="000009AF">
        <w:trPr>
          <w:trHeight w:val="287"/>
        </w:trPr>
        <w:tc>
          <w:tcPr>
            <w:tcW w:w="3220" w:type="dxa"/>
          </w:tcPr>
          <w:p w:rsidR="000009AF" w:rsidRPr="00126A80" w:rsidRDefault="000009AF" w:rsidP="00926F9D">
            <w:pPr>
              <w:spacing w:before="40"/>
              <w:jc w:val="both"/>
              <w:rPr>
                <w:i/>
                <w:color w:val="0000FF"/>
                <w:sz w:val="25"/>
              </w:rPr>
            </w:pPr>
          </w:p>
        </w:tc>
        <w:tc>
          <w:tcPr>
            <w:tcW w:w="466" w:type="dxa"/>
          </w:tcPr>
          <w:p w:rsidR="000009AF" w:rsidRPr="00126A80" w:rsidRDefault="000009AF" w:rsidP="00926F9D">
            <w:pPr>
              <w:spacing w:before="40"/>
              <w:jc w:val="both"/>
              <w:rPr>
                <w:rFonts w:ascii=".VnTimeH" w:hAnsi=".VnTimeH"/>
                <w:b/>
                <w:color w:val="0000FF"/>
                <w:sz w:val="24"/>
              </w:rPr>
            </w:pPr>
          </w:p>
        </w:tc>
        <w:tc>
          <w:tcPr>
            <w:tcW w:w="5386" w:type="dxa"/>
          </w:tcPr>
          <w:p w:rsidR="000009AF" w:rsidRPr="004D2C3A" w:rsidRDefault="000009AF"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0009AF" w:rsidRPr="00126A80" w:rsidRDefault="000009AF" w:rsidP="004D2C3A">
            <w:pPr>
              <w:spacing w:before="40"/>
              <w:jc w:val="both"/>
              <w:rPr>
                <w:rFonts w:ascii=".VnTimeH" w:hAnsi=".VnTimeH"/>
                <w:b/>
                <w:color w:val="0000FF"/>
                <w:sz w:val="24"/>
              </w:rPr>
            </w:pPr>
          </w:p>
        </w:tc>
      </w:tr>
      <w:tr w:rsidR="000009AF" w:rsidRPr="00126A80" w:rsidTr="000009AF">
        <w:trPr>
          <w:trHeight w:val="353"/>
        </w:trPr>
        <w:tc>
          <w:tcPr>
            <w:tcW w:w="3220" w:type="dxa"/>
          </w:tcPr>
          <w:p w:rsidR="000009AF" w:rsidRPr="00A90279" w:rsidRDefault="000009AF"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0009AF" w:rsidRPr="00126A80" w:rsidRDefault="000009AF" w:rsidP="00926F9D">
            <w:pPr>
              <w:spacing w:before="40"/>
              <w:jc w:val="both"/>
              <w:rPr>
                <w:rFonts w:ascii=".VnTimeH" w:hAnsi=".VnTimeH"/>
                <w:b/>
                <w:color w:val="0000FF"/>
                <w:sz w:val="24"/>
              </w:rPr>
            </w:pPr>
          </w:p>
        </w:tc>
        <w:tc>
          <w:tcPr>
            <w:tcW w:w="5386" w:type="dxa"/>
          </w:tcPr>
          <w:p w:rsidR="000009AF" w:rsidRPr="00843031" w:rsidRDefault="000009AF"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0009AF" w:rsidRPr="00126A80" w:rsidRDefault="000009AF" w:rsidP="004D2C3A">
            <w:pPr>
              <w:spacing w:before="40"/>
              <w:jc w:val="both"/>
              <w:rPr>
                <w:rFonts w:ascii=".VnTimeH" w:hAnsi=".VnTimeH"/>
                <w:b/>
                <w:color w:val="0000FF"/>
                <w:sz w:val="24"/>
              </w:rPr>
            </w:pPr>
          </w:p>
        </w:tc>
      </w:tr>
      <w:tr w:rsidR="000009AF" w:rsidRPr="00126A80" w:rsidTr="000009AF">
        <w:trPr>
          <w:trHeight w:val="154"/>
        </w:trPr>
        <w:tc>
          <w:tcPr>
            <w:tcW w:w="3220" w:type="dxa"/>
          </w:tcPr>
          <w:p w:rsidR="000009AF" w:rsidRPr="003068DC" w:rsidRDefault="000009AF"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0009AF" w:rsidRPr="003068DC" w:rsidRDefault="000009AF" w:rsidP="00926F9D">
            <w:pPr>
              <w:jc w:val="both"/>
              <w:rPr>
                <w:rFonts w:ascii="Times New Roman" w:hAnsi="Times New Roman"/>
                <w:sz w:val="22"/>
                <w:szCs w:val="22"/>
              </w:rPr>
            </w:pPr>
            <w:r>
              <w:rPr>
                <w:rFonts w:ascii="Times New Roman" w:hAnsi="Times New Roman"/>
                <w:sz w:val="22"/>
                <w:szCs w:val="22"/>
              </w:rPr>
              <w:t>- Lưu: VT, Cục KTXD(L).</w:t>
            </w:r>
          </w:p>
          <w:p w:rsidR="000009AF" w:rsidRPr="00126A80" w:rsidRDefault="000009AF" w:rsidP="00926F9D">
            <w:pPr>
              <w:jc w:val="both"/>
              <w:rPr>
                <w:b/>
                <w:i/>
                <w:color w:val="0000FF"/>
                <w:sz w:val="25"/>
              </w:rPr>
            </w:pPr>
          </w:p>
        </w:tc>
        <w:tc>
          <w:tcPr>
            <w:tcW w:w="466" w:type="dxa"/>
          </w:tcPr>
          <w:p w:rsidR="000009AF" w:rsidRPr="00126A80" w:rsidRDefault="000009AF" w:rsidP="00926F9D">
            <w:pPr>
              <w:jc w:val="both"/>
              <w:rPr>
                <w:rFonts w:ascii=".VnTimeH" w:hAnsi=".VnTimeH"/>
                <w:b/>
                <w:color w:val="0000FF"/>
                <w:sz w:val="24"/>
              </w:rPr>
            </w:pPr>
          </w:p>
        </w:tc>
        <w:tc>
          <w:tcPr>
            <w:tcW w:w="5386" w:type="dxa"/>
          </w:tcPr>
          <w:p w:rsidR="000009AF" w:rsidRPr="00522DD4" w:rsidRDefault="000009AF" w:rsidP="00DE2787">
            <w:pPr>
              <w:jc w:val="center"/>
              <w:rPr>
                <w:rFonts w:ascii="Times New Roman" w:hAnsi="Times New Roman"/>
                <w:b/>
                <w:sz w:val="46"/>
              </w:rPr>
            </w:pPr>
          </w:p>
          <w:p w:rsidR="000009AF" w:rsidRPr="005B4E3C" w:rsidRDefault="000009AF" w:rsidP="00C455ED">
            <w:pPr>
              <w:spacing w:line="360" w:lineRule="auto"/>
              <w:rPr>
                <w:rFonts w:ascii="Times New Roman" w:hAnsi="Times New Roman"/>
                <w:b/>
                <w:sz w:val="2"/>
              </w:rPr>
            </w:pPr>
          </w:p>
          <w:p w:rsidR="000009AF" w:rsidRPr="006B7A2E" w:rsidRDefault="000009AF" w:rsidP="006B7A2E">
            <w:pPr>
              <w:spacing w:before="120" w:after="120"/>
              <w:jc w:val="center"/>
              <w:rPr>
                <w:rFonts w:ascii="Times New Roman" w:hAnsi="Times New Roman"/>
              </w:rPr>
            </w:pPr>
            <w:r w:rsidRPr="006B7A2E">
              <w:rPr>
                <w:rFonts w:ascii="Times New Roman" w:hAnsi="Times New Roman"/>
              </w:rPr>
              <w:t>(đã ký)</w:t>
            </w:r>
          </w:p>
          <w:p w:rsidR="000009AF" w:rsidRPr="005B4E3C" w:rsidRDefault="000009AF" w:rsidP="009178C0">
            <w:pPr>
              <w:spacing w:line="360" w:lineRule="auto"/>
              <w:jc w:val="right"/>
              <w:rPr>
                <w:rFonts w:ascii="Times New Roman" w:hAnsi="Times New Roman"/>
                <w:b/>
                <w:sz w:val="42"/>
              </w:rPr>
            </w:pPr>
            <w:r>
              <w:rPr>
                <w:rFonts w:ascii="Times New Roman" w:hAnsi="Times New Roman"/>
                <w:b/>
                <w:sz w:val="42"/>
              </w:rPr>
              <w:t xml:space="preserve"> </w:t>
            </w:r>
          </w:p>
          <w:p w:rsidR="000009AF" w:rsidRPr="004D2C3A" w:rsidRDefault="000009AF"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0009AF" w:rsidRPr="00126A80" w:rsidRDefault="000009AF"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52" w:rsidRDefault="00667352">
      <w:r>
        <w:separator/>
      </w:r>
    </w:p>
  </w:endnote>
  <w:endnote w:type="continuationSeparator" w:id="0">
    <w:p w:rsidR="00667352" w:rsidRDefault="0066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8" w:rsidRPr="00D60EB8" w:rsidRDefault="00D60EB8">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52" w:rsidRDefault="00667352">
      <w:r>
        <w:separator/>
      </w:r>
    </w:p>
  </w:footnote>
  <w:footnote w:type="continuationSeparator" w:id="0">
    <w:p w:rsidR="00667352" w:rsidRDefault="0066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09A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96C63"/>
    <w:rsid w:val="000A07B7"/>
    <w:rsid w:val="000A4936"/>
    <w:rsid w:val="000A62D6"/>
    <w:rsid w:val="000A65A0"/>
    <w:rsid w:val="000B0E4D"/>
    <w:rsid w:val="000B28DE"/>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48DB"/>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E4B56"/>
    <w:rsid w:val="001F4BD7"/>
    <w:rsid w:val="001F56CE"/>
    <w:rsid w:val="001F57E2"/>
    <w:rsid w:val="001F5CB8"/>
    <w:rsid w:val="001F6D30"/>
    <w:rsid w:val="001F6DDB"/>
    <w:rsid w:val="001F7E74"/>
    <w:rsid w:val="0020257E"/>
    <w:rsid w:val="00202FC6"/>
    <w:rsid w:val="002042E5"/>
    <w:rsid w:val="00204AC7"/>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54A3"/>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8DF"/>
    <w:rsid w:val="002D2DB1"/>
    <w:rsid w:val="002D30B7"/>
    <w:rsid w:val="002D4CA9"/>
    <w:rsid w:val="002D5605"/>
    <w:rsid w:val="002E05AE"/>
    <w:rsid w:val="002E0988"/>
    <w:rsid w:val="002E1288"/>
    <w:rsid w:val="002E26F0"/>
    <w:rsid w:val="002E3FCA"/>
    <w:rsid w:val="002E4B4E"/>
    <w:rsid w:val="002E7751"/>
    <w:rsid w:val="002F0227"/>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36591"/>
    <w:rsid w:val="003417BA"/>
    <w:rsid w:val="00344BEC"/>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47F2"/>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569"/>
    <w:rsid w:val="003D4B76"/>
    <w:rsid w:val="003D4C93"/>
    <w:rsid w:val="003D5374"/>
    <w:rsid w:val="003D625D"/>
    <w:rsid w:val="003D63B4"/>
    <w:rsid w:val="003E1F32"/>
    <w:rsid w:val="003E46C6"/>
    <w:rsid w:val="003F02B1"/>
    <w:rsid w:val="003F2736"/>
    <w:rsid w:val="003F3117"/>
    <w:rsid w:val="003F4B76"/>
    <w:rsid w:val="003F586E"/>
    <w:rsid w:val="003F5E81"/>
    <w:rsid w:val="003F6D4C"/>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14AA"/>
    <w:rsid w:val="00462367"/>
    <w:rsid w:val="0046273A"/>
    <w:rsid w:val="00462B84"/>
    <w:rsid w:val="004649C0"/>
    <w:rsid w:val="0046717C"/>
    <w:rsid w:val="00467B6C"/>
    <w:rsid w:val="004719F2"/>
    <w:rsid w:val="00474A55"/>
    <w:rsid w:val="00475AA7"/>
    <w:rsid w:val="00476869"/>
    <w:rsid w:val="00480204"/>
    <w:rsid w:val="0048180A"/>
    <w:rsid w:val="00484873"/>
    <w:rsid w:val="0048499C"/>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553E"/>
    <w:rsid w:val="00536331"/>
    <w:rsid w:val="00541835"/>
    <w:rsid w:val="00542BB4"/>
    <w:rsid w:val="00544AD4"/>
    <w:rsid w:val="00544BA7"/>
    <w:rsid w:val="005476DF"/>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45EE"/>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B4E3C"/>
    <w:rsid w:val="005C275A"/>
    <w:rsid w:val="005C2895"/>
    <w:rsid w:val="005C3959"/>
    <w:rsid w:val="005D00D2"/>
    <w:rsid w:val="005D1F46"/>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1FD3"/>
    <w:rsid w:val="00642EAA"/>
    <w:rsid w:val="00644174"/>
    <w:rsid w:val="006451D1"/>
    <w:rsid w:val="0065166D"/>
    <w:rsid w:val="00653E05"/>
    <w:rsid w:val="006544A7"/>
    <w:rsid w:val="00662EBA"/>
    <w:rsid w:val="0066509B"/>
    <w:rsid w:val="00667352"/>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32DE"/>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297D"/>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4D46"/>
    <w:rsid w:val="00776593"/>
    <w:rsid w:val="007804FD"/>
    <w:rsid w:val="00780F51"/>
    <w:rsid w:val="007827D1"/>
    <w:rsid w:val="0078390D"/>
    <w:rsid w:val="00790015"/>
    <w:rsid w:val="007945D5"/>
    <w:rsid w:val="00794C7A"/>
    <w:rsid w:val="007A0747"/>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546D"/>
    <w:rsid w:val="0083663B"/>
    <w:rsid w:val="0083718F"/>
    <w:rsid w:val="0084141D"/>
    <w:rsid w:val="00842773"/>
    <w:rsid w:val="00843031"/>
    <w:rsid w:val="00843D10"/>
    <w:rsid w:val="00847E35"/>
    <w:rsid w:val="00851C92"/>
    <w:rsid w:val="00853505"/>
    <w:rsid w:val="00856727"/>
    <w:rsid w:val="0086334E"/>
    <w:rsid w:val="00866DD5"/>
    <w:rsid w:val="008708D4"/>
    <w:rsid w:val="00871B42"/>
    <w:rsid w:val="00872B24"/>
    <w:rsid w:val="0088223D"/>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5DCA"/>
    <w:rsid w:val="0093683F"/>
    <w:rsid w:val="0093747A"/>
    <w:rsid w:val="00937633"/>
    <w:rsid w:val="00940406"/>
    <w:rsid w:val="009422AD"/>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A3"/>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71AB3"/>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303"/>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4505"/>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76E01"/>
    <w:rsid w:val="00B77B9C"/>
    <w:rsid w:val="00B8009A"/>
    <w:rsid w:val="00B816B5"/>
    <w:rsid w:val="00B823CF"/>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56C0"/>
    <w:rsid w:val="00C46EB4"/>
    <w:rsid w:val="00C46F7A"/>
    <w:rsid w:val="00C50E77"/>
    <w:rsid w:val="00C5446C"/>
    <w:rsid w:val="00C56DF3"/>
    <w:rsid w:val="00C6039B"/>
    <w:rsid w:val="00C6317B"/>
    <w:rsid w:val="00C63875"/>
    <w:rsid w:val="00C66E9A"/>
    <w:rsid w:val="00C72103"/>
    <w:rsid w:val="00C753F2"/>
    <w:rsid w:val="00C76A7E"/>
    <w:rsid w:val="00C80CB0"/>
    <w:rsid w:val="00C8272B"/>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3B83"/>
    <w:rsid w:val="00D26242"/>
    <w:rsid w:val="00D277FC"/>
    <w:rsid w:val="00D27BCC"/>
    <w:rsid w:val="00D459FB"/>
    <w:rsid w:val="00D46C41"/>
    <w:rsid w:val="00D47938"/>
    <w:rsid w:val="00D5240E"/>
    <w:rsid w:val="00D54493"/>
    <w:rsid w:val="00D555C0"/>
    <w:rsid w:val="00D60EB8"/>
    <w:rsid w:val="00D62B98"/>
    <w:rsid w:val="00D6340B"/>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949"/>
    <w:rsid w:val="00D94BF2"/>
    <w:rsid w:val="00D94DC0"/>
    <w:rsid w:val="00D97F01"/>
    <w:rsid w:val="00DA32EA"/>
    <w:rsid w:val="00DA4100"/>
    <w:rsid w:val="00DA5F70"/>
    <w:rsid w:val="00DA6A87"/>
    <w:rsid w:val="00DB2B3D"/>
    <w:rsid w:val="00DB41E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486"/>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94B01"/>
    <w:rsid w:val="00EA066A"/>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27F5"/>
    <w:rsid w:val="00EF3D0F"/>
    <w:rsid w:val="00EF500A"/>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4946"/>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1C2"/>
    <w:rsid w:val="00F81F0B"/>
    <w:rsid w:val="00F82AC4"/>
    <w:rsid w:val="00F841F1"/>
    <w:rsid w:val="00F84989"/>
    <w:rsid w:val="00F866B9"/>
    <w:rsid w:val="00F8763E"/>
    <w:rsid w:val="00F909DC"/>
    <w:rsid w:val="00F90F0D"/>
    <w:rsid w:val="00F923DB"/>
    <w:rsid w:val="00F94F8B"/>
    <w:rsid w:val="00F96269"/>
    <w:rsid w:val="00FA01AB"/>
    <w:rsid w:val="00FA0569"/>
    <w:rsid w:val="00FA0780"/>
    <w:rsid w:val="00FA1234"/>
    <w:rsid w:val="00FA19E4"/>
    <w:rsid w:val="00FA250B"/>
    <w:rsid w:val="00FA32F7"/>
    <w:rsid w:val="00FA46F1"/>
    <w:rsid w:val="00FA4B16"/>
    <w:rsid w:val="00FA5E20"/>
    <w:rsid w:val="00FA644D"/>
    <w:rsid w:val="00FA6C15"/>
    <w:rsid w:val="00FB2475"/>
    <w:rsid w:val="00FB339A"/>
    <w:rsid w:val="00FB35C8"/>
    <w:rsid w:val="00FB376E"/>
    <w:rsid w:val="00FB70C5"/>
    <w:rsid w:val="00FB74CD"/>
    <w:rsid w:val="00FC4F00"/>
    <w:rsid w:val="00FC68DF"/>
    <w:rsid w:val="00FD6A37"/>
    <w:rsid w:val="00FD6C81"/>
    <w:rsid w:val="00FE1A56"/>
    <w:rsid w:val="00FE2DCD"/>
    <w:rsid w:val="00FF1AE3"/>
    <w:rsid w:val="00FF1F52"/>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2D2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2D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4FCB-C491-4685-BAC9-27173C13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6</cp:revision>
  <cp:lastPrinted>2018-09-18T08:09:00Z</cp:lastPrinted>
  <dcterms:created xsi:type="dcterms:W3CDTF">2018-09-28T01:48:00Z</dcterms:created>
  <dcterms:modified xsi:type="dcterms:W3CDTF">2018-09-28T03:18:00Z</dcterms:modified>
</cp:coreProperties>
</file>