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936"/>
      </w:tblGrid>
      <w:tr w:rsidR="00BE6084" w:rsidRPr="00607BE6" w:rsidTr="00CB0FBF">
        <w:tc>
          <w:tcPr>
            <w:tcW w:w="3528" w:type="dxa"/>
          </w:tcPr>
          <w:p w:rsidR="00BE6084" w:rsidRPr="00607BE6" w:rsidRDefault="00D07734" w:rsidP="00AE0BD1">
            <w:pPr>
              <w:jc w:val="center"/>
              <w:rPr>
                <w:rFonts w:ascii="Times New Roman" w:hAnsi="Times New Roman" w:cs="Times New Roman"/>
                <w:b/>
                <w:sz w:val="27"/>
                <w:szCs w:val="27"/>
              </w:rPr>
            </w:pPr>
            <w:r>
              <w:rPr>
                <w:rFonts w:ascii="Times New Roman" w:hAnsi="Times New Roman" w:cs="Times New Roman"/>
                <w:b/>
                <w:noProof/>
                <w:sz w:val="27"/>
                <w:szCs w:val="27"/>
              </w:rPr>
              <mc:AlternateContent>
                <mc:Choice Requires="wps">
                  <w:drawing>
                    <wp:anchor distT="4294967295" distB="4294967295" distL="114300" distR="114300" simplePos="0" relativeHeight="251659264" behindDoc="0" locked="0" layoutInCell="1" allowOverlap="1">
                      <wp:simplePos x="0" y="0"/>
                      <wp:positionH relativeFrom="column">
                        <wp:posOffset>629285</wp:posOffset>
                      </wp:positionH>
                      <wp:positionV relativeFrom="paragraph">
                        <wp:posOffset>222249</wp:posOffset>
                      </wp:positionV>
                      <wp:extent cx="8528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2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5pt,17.5pt" to="116.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" strokecolor="black [3040]">
                      <o:lock v:ext="edit" shapetype="f"/>
                    </v:line>
                  </w:pict>
                </mc:Fallback>
              </mc:AlternateContent>
            </w:r>
            <w:r w:rsidR="00BE6084" w:rsidRPr="00607BE6">
              <w:rPr>
                <w:rFonts w:ascii="Times New Roman" w:hAnsi="Times New Roman" w:cs="Times New Roman"/>
                <w:b/>
                <w:sz w:val="27"/>
                <w:szCs w:val="27"/>
              </w:rPr>
              <w:t>BỘ XÂY DỰNG</w:t>
            </w:r>
          </w:p>
        </w:tc>
        <w:tc>
          <w:tcPr>
            <w:tcW w:w="5936" w:type="dxa"/>
          </w:tcPr>
          <w:p w:rsidR="00BE6084" w:rsidRPr="00607BE6" w:rsidRDefault="00BE6084" w:rsidP="00AE0BD1">
            <w:pPr>
              <w:jc w:val="center"/>
              <w:rPr>
                <w:rFonts w:ascii="Times New Roman" w:hAnsi="Times New Roman" w:cs="Times New Roman"/>
                <w:b/>
                <w:sz w:val="26"/>
                <w:szCs w:val="26"/>
              </w:rPr>
            </w:pPr>
            <w:r w:rsidRPr="00607BE6">
              <w:rPr>
                <w:rFonts w:ascii="Times New Roman" w:hAnsi="Times New Roman" w:cs="Times New Roman"/>
                <w:b/>
                <w:sz w:val="26"/>
                <w:szCs w:val="26"/>
              </w:rPr>
              <w:t>CỘ</w:t>
            </w:r>
            <w:r>
              <w:rPr>
                <w:rFonts w:ascii="Times New Roman" w:hAnsi="Times New Roman" w:cs="Times New Roman"/>
                <w:b/>
                <w:sz w:val="26"/>
                <w:szCs w:val="26"/>
              </w:rPr>
              <w:t>NG HÒ</w:t>
            </w:r>
            <w:r w:rsidRPr="00607BE6">
              <w:rPr>
                <w:rFonts w:ascii="Times New Roman" w:hAnsi="Times New Roman" w:cs="Times New Roman"/>
                <w:b/>
                <w:sz w:val="26"/>
                <w:szCs w:val="26"/>
              </w:rPr>
              <w:t>A XÃ HỘI CHỦ NGHĨA VIỆT NAM</w:t>
            </w:r>
          </w:p>
          <w:p w:rsidR="00BE6084" w:rsidRPr="00607BE6" w:rsidRDefault="00BE6084" w:rsidP="00AE0BD1">
            <w:pPr>
              <w:jc w:val="center"/>
              <w:rPr>
                <w:rFonts w:ascii="Times New Roman" w:hAnsi="Times New Roman" w:cs="Times New Roman"/>
                <w:sz w:val="28"/>
                <w:szCs w:val="28"/>
              </w:rPr>
            </w:pPr>
            <w:r w:rsidRPr="00607BE6">
              <w:rPr>
                <w:rFonts w:ascii="Times New Roman" w:hAnsi="Times New Roman" w:cs="Times New Roman"/>
                <w:b/>
                <w:sz w:val="28"/>
                <w:szCs w:val="28"/>
              </w:rPr>
              <w:t>Độc lập – Tự do – Hạnh phúc</w:t>
            </w:r>
          </w:p>
        </w:tc>
      </w:tr>
      <w:tr w:rsidR="00BE6084" w:rsidRPr="00607BE6" w:rsidTr="00CB0FBF">
        <w:tc>
          <w:tcPr>
            <w:tcW w:w="3528" w:type="dxa"/>
          </w:tcPr>
          <w:p w:rsidR="00BE6084" w:rsidRPr="00607BE6" w:rsidRDefault="00BE6084" w:rsidP="00AE0BD1">
            <w:pPr>
              <w:spacing w:before="120"/>
              <w:jc w:val="center"/>
              <w:rPr>
                <w:rFonts w:ascii="Times New Roman" w:hAnsi="Times New Roman" w:cs="Times New Roman"/>
                <w:sz w:val="28"/>
                <w:szCs w:val="28"/>
              </w:rPr>
            </w:pPr>
            <w:r w:rsidRPr="00607BE6">
              <w:rPr>
                <w:rFonts w:ascii="Times New Roman" w:hAnsi="Times New Roman" w:cs="Times New Roman"/>
                <w:sz w:val="28"/>
                <w:szCs w:val="28"/>
              </w:rPr>
              <w:t xml:space="preserve">Số: </w:t>
            </w:r>
            <w:r w:rsidR="00FC2E7A">
              <w:rPr>
                <w:rFonts w:ascii="Times New Roman" w:hAnsi="Times New Roman" w:cs="Times New Roman"/>
                <w:sz w:val="28"/>
                <w:szCs w:val="28"/>
              </w:rPr>
              <w:t>101</w:t>
            </w:r>
            <w:r w:rsidRPr="00607BE6">
              <w:rPr>
                <w:rFonts w:ascii="Times New Roman" w:hAnsi="Times New Roman" w:cs="Times New Roman"/>
                <w:sz w:val="28"/>
                <w:szCs w:val="28"/>
              </w:rPr>
              <w:t>/BXD-QLN</w:t>
            </w:r>
          </w:p>
          <w:p w:rsidR="00BE6084" w:rsidRPr="00607BE6" w:rsidRDefault="00BE6084" w:rsidP="00280A8E">
            <w:pPr>
              <w:jc w:val="both"/>
              <w:rPr>
                <w:rFonts w:ascii="Times New Roman" w:hAnsi="Times New Roman" w:cs="Times New Roman"/>
                <w:sz w:val="24"/>
                <w:szCs w:val="24"/>
              </w:rPr>
            </w:pPr>
            <w:r w:rsidRPr="00607BE6">
              <w:rPr>
                <w:rFonts w:ascii="Times New Roman" w:hAnsi="Times New Roman" w:cs="Times New Roman"/>
                <w:sz w:val="24"/>
                <w:szCs w:val="24"/>
              </w:rPr>
              <w:t xml:space="preserve">V/v: trả lời văn bản số </w:t>
            </w:r>
            <w:r w:rsidR="00280A8E">
              <w:rPr>
                <w:rFonts w:ascii="Times New Roman" w:hAnsi="Times New Roman" w:cs="Times New Roman"/>
                <w:sz w:val="24"/>
                <w:szCs w:val="24"/>
              </w:rPr>
              <w:t xml:space="preserve">0502/2018/CV của </w:t>
            </w:r>
            <w:r w:rsidR="00280A8E" w:rsidRPr="00280A8E">
              <w:rPr>
                <w:rFonts w:ascii="Times New Roman" w:hAnsi="Times New Roman" w:cs="Times New Roman"/>
                <w:sz w:val="24"/>
                <w:szCs w:val="24"/>
              </w:rPr>
              <w:t>Công ty TNHH Đá xây dựng Bình Dương</w:t>
            </w:r>
            <w:r w:rsidRPr="00607BE6">
              <w:rPr>
                <w:rFonts w:ascii="Times New Roman" w:hAnsi="Times New Roman" w:cs="Times New Roman"/>
                <w:sz w:val="24"/>
                <w:szCs w:val="24"/>
              </w:rPr>
              <w:t>.</w:t>
            </w:r>
          </w:p>
        </w:tc>
        <w:tc>
          <w:tcPr>
            <w:tcW w:w="5936" w:type="dxa"/>
          </w:tcPr>
          <w:p w:rsidR="00BE6084" w:rsidRPr="00607BE6" w:rsidRDefault="00D07734" w:rsidP="00FC2E7A">
            <w:pPr>
              <w:spacing w:before="120"/>
              <w:jc w:val="right"/>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846949</wp:posOffset>
                      </wp:positionH>
                      <wp:positionV relativeFrom="paragraph">
                        <wp:posOffset>2540</wp:posOffset>
                      </wp:positionV>
                      <wp:extent cx="19399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6.7pt,.2pt" to="219.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" strokecolor="black [3040]">
                      <o:lock v:ext="edit" shapetype="f"/>
                    </v:line>
                  </w:pict>
                </mc:Fallback>
              </mc:AlternateContent>
            </w:r>
            <w:r w:rsidR="00BE6084" w:rsidRPr="00607BE6">
              <w:rPr>
                <w:rFonts w:ascii="Times New Roman" w:hAnsi="Times New Roman" w:cs="Times New Roman"/>
                <w:i/>
                <w:sz w:val="28"/>
                <w:szCs w:val="28"/>
              </w:rPr>
              <w:t xml:space="preserve">Hà Nội, ngày   </w:t>
            </w:r>
            <w:r w:rsidR="00FC2E7A">
              <w:rPr>
                <w:rFonts w:ascii="Times New Roman" w:hAnsi="Times New Roman" w:cs="Times New Roman"/>
                <w:i/>
                <w:sz w:val="28"/>
                <w:szCs w:val="28"/>
              </w:rPr>
              <w:t xml:space="preserve">22  </w:t>
            </w:r>
            <w:r w:rsidR="00BE6084">
              <w:rPr>
                <w:rFonts w:ascii="Times New Roman" w:hAnsi="Times New Roman" w:cs="Times New Roman"/>
                <w:i/>
                <w:sz w:val="28"/>
                <w:szCs w:val="28"/>
              </w:rPr>
              <w:t xml:space="preserve">tháng  </w:t>
            </w:r>
            <w:r w:rsidR="00FC2E7A">
              <w:rPr>
                <w:rFonts w:ascii="Times New Roman" w:hAnsi="Times New Roman" w:cs="Times New Roman"/>
                <w:i/>
                <w:sz w:val="28"/>
                <w:szCs w:val="28"/>
              </w:rPr>
              <w:t>5</w:t>
            </w:r>
            <w:r w:rsidR="00BE6084">
              <w:rPr>
                <w:rFonts w:ascii="Times New Roman" w:hAnsi="Times New Roman" w:cs="Times New Roman"/>
                <w:i/>
                <w:sz w:val="28"/>
                <w:szCs w:val="28"/>
              </w:rPr>
              <w:t xml:space="preserve"> </w:t>
            </w:r>
            <w:r w:rsidR="00BE6084" w:rsidRPr="00607BE6">
              <w:rPr>
                <w:rFonts w:ascii="Times New Roman" w:hAnsi="Times New Roman" w:cs="Times New Roman"/>
                <w:i/>
                <w:sz w:val="28"/>
                <w:szCs w:val="28"/>
              </w:rPr>
              <w:t xml:space="preserve"> năm 2018</w:t>
            </w:r>
          </w:p>
        </w:tc>
      </w:tr>
    </w:tbl>
    <w:p w:rsidR="00BE6084" w:rsidRPr="00607BE6" w:rsidRDefault="00BE6084" w:rsidP="00BE6084">
      <w:pPr>
        <w:ind w:firstLine="567"/>
        <w:jc w:val="both"/>
        <w:rPr>
          <w:rFonts w:ascii="Times New Roman" w:hAnsi="Times New Roman" w:cs="Times New Roman"/>
          <w:sz w:val="24"/>
          <w:szCs w:val="24"/>
        </w:rPr>
      </w:pPr>
    </w:p>
    <w:p w:rsidR="00BE6084" w:rsidRPr="00607BE6" w:rsidRDefault="00BE6084" w:rsidP="00432AD0">
      <w:pPr>
        <w:spacing w:before="360" w:after="360"/>
        <w:ind w:firstLine="562"/>
        <w:jc w:val="center"/>
        <w:rPr>
          <w:rFonts w:ascii="Times New Roman" w:hAnsi="Times New Roman" w:cs="Times New Roman"/>
          <w:sz w:val="28"/>
          <w:szCs w:val="28"/>
        </w:rPr>
      </w:pPr>
      <w:r w:rsidRPr="00607BE6">
        <w:rPr>
          <w:rFonts w:ascii="Times New Roman" w:hAnsi="Times New Roman" w:cs="Times New Roman"/>
          <w:sz w:val="28"/>
          <w:szCs w:val="28"/>
        </w:rPr>
        <w:t xml:space="preserve">Kính gửi: </w:t>
      </w:r>
      <w:r w:rsidR="00280A8E">
        <w:rPr>
          <w:rFonts w:ascii="Times New Roman" w:hAnsi="Times New Roman" w:cs="Times New Roman"/>
          <w:sz w:val="28"/>
          <w:szCs w:val="28"/>
        </w:rPr>
        <w:t>Công ty TNHH Đá xây dựng Bình Dương</w:t>
      </w:r>
    </w:p>
    <w:p w:rsidR="00BE6084" w:rsidRDefault="00BE6084" w:rsidP="003741B5">
      <w:pPr>
        <w:spacing w:before="120" w:after="0" w:line="320" w:lineRule="exact"/>
        <w:ind w:firstLine="567"/>
        <w:jc w:val="both"/>
        <w:rPr>
          <w:rFonts w:ascii="Times New Roman" w:hAnsi="Times New Roman" w:cs="Times New Roman"/>
          <w:sz w:val="28"/>
          <w:szCs w:val="28"/>
        </w:rPr>
      </w:pPr>
      <w:r w:rsidRPr="00607BE6">
        <w:rPr>
          <w:rFonts w:ascii="Times New Roman" w:hAnsi="Times New Roman" w:cs="Times New Roman"/>
          <w:sz w:val="28"/>
          <w:szCs w:val="28"/>
        </w:rPr>
        <w:t xml:space="preserve">Bộ Xây dựng nhận được văn bản số </w:t>
      </w:r>
      <w:r w:rsidR="00280A8E" w:rsidRPr="00280A8E">
        <w:rPr>
          <w:rFonts w:ascii="Times New Roman" w:hAnsi="Times New Roman" w:cs="Times New Roman"/>
          <w:sz w:val="28"/>
          <w:szCs w:val="28"/>
        </w:rPr>
        <w:t>0502/2018/CV ngày 02/5/2018 của Công ty TNHH Đá xây dựng Bình Dương</w:t>
      </w:r>
      <w:r w:rsidR="00442CD5">
        <w:rPr>
          <w:rFonts w:ascii="Times New Roman" w:hAnsi="Times New Roman" w:cs="Times New Roman"/>
          <w:sz w:val="28"/>
          <w:szCs w:val="28"/>
        </w:rPr>
        <w:t xml:space="preserve"> (sau đây gọi là Công ty) </w:t>
      </w:r>
      <w:r w:rsidR="00280A8E" w:rsidRPr="00280A8E">
        <w:rPr>
          <w:rFonts w:ascii="Times New Roman" w:hAnsi="Times New Roman" w:cs="Times New Roman"/>
          <w:sz w:val="28"/>
          <w:szCs w:val="28"/>
        </w:rPr>
        <w:t>đề nghị hướng dẫn về việc chuyển nhượng dự án</w:t>
      </w:r>
      <w:r w:rsidR="00883F41">
        <w:rPr>
          <w:rFonts w:ascii="Times New Roman" w:hAnsi="Times New Roman" w:cs="Times New Roman"/>
          <w:sz w:val="28"/>
          <w:szCs w:val="28"/>
        </w:rPr>
        <w:t xml:space="preserve"> </w:t>
      </w:r>
      <w:r w:rsidR="004325AD">
        <w:rPr>
          <w:rFonts w:ascii="Times New Roman" w:hAnsi="Times New Roman" w:cs="Times New Roman"/>
          <w:sz w:val="28"/>
          <w:szCs w:val="28"/>
        </w:rPr>
        <w:t xml:space="preserve">bất động sản </w:t>
      </w:r>
      <w:r w:rsidR="00280A8E" w:rsidRPr="00280A8E">
        <w:rPr>
          <w:rFonts w:ascii="Times New Roman" w:hAnsi="Times New Roman" w:cs="Times New Roman"/>
          <w:sz w:val="28"/>
          <w:szCs w:val="28"/>
        </w:rPr>
        <w:t>và chuyển nhượng cổ phần cho nhà đầu tư nước ngoài.</w:t>
      </w:r>
      <w:r>
        <w:rPr>
          <w:rFonts w:ascii="Times New Roman" w:hAnsi="Times New Roman" w:cs="Times New Roman"/>
          <w:sz w:val="28"/>
          <w:szCs w:val="28"/>
        </w:rPr>
        <w:t xml:space="preserve"> Sau khi nghiên cứu</w:t>
      </w:r>
      <w:r w:rsidR="00771343">
        <w:rPr>
          <w:rFonts w:ascii="Times New Roman" w:hAnsi="Times New Roman" w:cs="Times New Roman"/>
          <w:sz w:val="28"/>
          <w:szCs w:val="28"/>
        </w:rPr>
        <w:t>,</w:t>
      </w:r>
      <w:r>
        <w:rPr>
          <w:rFonts w:ascii="Times New Roman" w:hAnsi="Times New Roman" w:cs="Times New Roman"/>
          <w:sz w:val="28"/>
          <w:szCs w:val="28"/>
        </w:rPr>
        <w:t xml:space="preserve"> Bộ Xây dựng có ý kiến như sau:</w:t>
      </w:r>
    </w:p>
    <w:p w:rsidR="003255EF" w:rsidRDefault="003255EF" w:rsidP="003741B5">
      <w:pPr>
        <w:pStyle w:val="ListParagraph"/>
        <w:numPr>
          <w:ilvl w:val="0"/>
          <w:numId w:val="5"/>
        </w:numPr>
        <w:tabs>
          <w:tab w:val="left" w:pos="851"/>
        </w:tabs>
        <w:spacing w:before="120" w:after="0" w:line="320" w:lineRule="exact"/>
        <w:ind w:left="0" w:firstLine="567"/>
        <w:jc w:val="both"/>
        <w:rPr>
          <w:rFonts w:ascii="Times New Roman" w:hAnsi="Times New Roman" w:cs="Times New Roman"/>
          <w:sz w:val="28"/>
          <w:szCs w:val="28"/>
        </w:rPr>
      </w:pPr>
      <w:r>
        <w:rPr>
          <w:rFonts w:ascii="Times New Roman" w:hAnsi="Times New Roman" w:cs="Times New Roman"/>
          <w:sz w:val="28"/>
          <w:szCs w:val="28"/>
        </w:rPr>
        <w:t xml:space="preserve">Về việc chuyển nhượng </w:t>
      </w:r>
      <w:r w:rsidR="00CB5B0D">
        <w:rPr>
          <w:rFonts w:ascii="Times New Roman" w:hAnsi="Times New Roman" w:cs="Times New Roman"/>
          <w:sz w:val="28"/>
          <w:szCs w:val="28"/>
        </w:rPr>
        <w:t xml:space="preserve">toàn bộ hoặc </w:t>
      </w:r>
      <w:r>
        <w:rPr>
          <w:rFonts w:ascii="Times New Roman" w:hAnsi="Times New Roman" w:cs="Times New Roman"/>
          <w:sz w:val="28"/>
          <w:szCs w:val="28"/>
        </w:rPr>
        <w:t>một phần dự án bất động sản</w:t>
      </w:r>
      <w:r w:rsidR="00EB3AC7">
        <w:rPr>
          <w:rFonts w:ascii="Times New Roman" w:hAnsi="Times New Roman" w:cs="Times New Roman"/>
          <w:sz w:val="28"/>
          <w:szCs w:val="28"/>
        </w:rPr>
        <w:t>:</w:t>
      </w:r>
    </w:p>
    <w:p w:rsidR="00B064A0" w:rsidRDefault="00B064A0" w:rsidP="003741B5">
      <w:pPr>
        <w:tabs>
          <w:tab w:val="left" w:pos="851"/>
        </w:tabs>
        <w:spacing w:before="120" w:after="0" w:line="320" w:lineRule="exact"/>
        <w:ind w:firstLine="540"/>
        <w:jc w:val="both"/>
        <w:rPr>
          <w:rFonts w:ascii="Times New Roman" w:hAnsi="Times New Roman" w:cs="Times New Roman"/>
          <w:sz w:val="28"/>
          <w:szCs w:val="28"/>
        </w:rPr>
      </w:pPr>
      <w:r w:rsidRPr="003255EF">
        <w:rPr>
          <w:rFonts w:ascii="Times New Roman" w:hAnsi="Times New Roman" w:cs="Times New Roman"/>
          <w:sz w:val="28"/>
          <w:szCs w:val="28"/>
        </w:rPr>
        <w:t>Theo nội dung văn bản nêu trên của Công ty TNHH Đá xây dựng Bình Dương thì Cụm chung cư Thái Bình Plaza do Công ty làm chủ đầu tư bao gồm 5 khối nhà cao tầng, trong đó các khu thương mại được thiết kế ở các tầng khối đế và 360 căn hộ từ tầng 2 đến tầng 18</w:t>
      </w:r>
      <w:r w:rsidR="00442CD5">
        <w:rPr>
          <w:rFonts w:ascii="Times New Roman" w:hAnsi="Times New Roman" w:cs="Times New Roman"/>
          <w:sz w:val="28"/>
          <w:szCs w:val="28"/>
        </w:rPr>
        <w:t>. Năm 2010 dự án này đã hoàn thành việc xây dựng, nghiệm thu đưa vào sử dụng và h</w:t>
      </w:r>
      <w:r w:rsidRPr="003255EF">
        <w:rPr>
          <w:rFonts w:ascii="Times New Roman" w:hAnsi="Times New Roman" w:cs="Times New Roman"/>
          <w:sz w:val="28"/>
          <w:szCs w:val="28"/>
        </w:rPr>
        <w:t>iện nay Công ty đã được cấp giấy chứng nhận quyền sử dụng đất, quyền sở hữu nhà ở và tài sản gắn liền với đất cho tất cả các khu thương mại và 360 căn hộ trong dự án</w:t>
      </w:r>
      <w:r>
        <w:rPr>
          <w:rFonts w:ascii="Times New Roman" w:hAnsi="Times New Roman" w:cs="Times New Roman"/>
          <w:sz w:val="28"/>
          <w:szCs w:val="28"/>
        </w:rPr>
        <w:t xml:space="preserve">. </w:t>
      </w:r>
      <w:r w:rsidR="00092A11">
        <w:rPr>
          <w:rFonts w:ascii="Times New Roman" w:hAnsi="Times New Roman" w:cs="Times New Roman"/>
          <w:sz w:val="28"/>
          <w:szCs w:val="28"/>
        </w:rPr>
        <w:t>T</w:t>
      </w:r>
      <w:r w:rsidR="009C752E" w:rsidRPr="003255EF">
        <w:rPr>
          <w:rFonts w:ascii="Times New Roman" w:hAnsi="Times New Roman" w:cs="Times New Roman"/>
          <w:sz w:val="28"/>
          <w:szCs w:val="28"/>
        </w:rPr>
        <w:t xml:space="preserve">heo quy định tại </w:t>
      </w:r>
      <w:r w:rsidR="00442CD5">
        <w:rPr>
          <w:rFonts w:ascii="Times New Roman" w:hAnsi="Times New Roman" w:cs="Times New Roman"/>
          <w:sz w:val="28"/>
          <w:szCs w:val="28"/>
        </w:rPr>
        <w:t xml:space="preserve">Khoản 18 Điều 3 của Luật Nhà ở và </w:t>
      </w:r>
      <w:r w:rsidR="009C752E" w:rsidRPr="003255EF">
        <w:rPr>
          <w:rFonts w:ascii="Times New Roman" w:hAnsi="Times New Roman" w:cs="Times New Roman"/>
          <w:sz w:val="28"/>
          <w:szCs w:val="28"/>
        </w:rPr>
        <w:t>Khoản 3 Điều 3 của Luật Kinh doanh bất động sản</w:t>
      </w:r>
      <w:r w:rsidR="00092A11">
        <w:rPr>
          <w:rFonts w:ascii="Times New Roman" w:hAnsi="Times New Roman" w:cs="Times New Roman"/>
          <w:sz w:val="28"/>
          <w:szCs w:val="28"/>
        </w:rPr>
        <w:t xml:space="preserve"> thì dự án nêu trên đã hoàn thành việc đầu tư xây dự</w:t>
      </w:r>
      <w:r w:rsidR="00442CD5">
        <w:rPr>
          <w:rFonts w:ascii="Times New Roman" w:hAnsi="Times New Roman" w:cs="Times New Roman"/>
          <w:sz w:val="28"/>
          <w:szCs w:val="28"/>
        </w:rPr>
        <w:t>ng công trình; vì vậ</w:t>
      </w:r>
      <w:r w:rsidR="00092A11">
        <w:rPr>
          <w:rFonts w:ascii="Times New Roman" w:hAnsi="Times New Roman" w:cs="Times New Roman"/>
          <w:sz w:val="28"/>
          <w:szCs w:val="28"/>
        </w:rPr>
        <w:t>y các công trình trong dự án đã là nhà và công trình xây dựng có sẵn</w:t>
      </w:r>
      <w:r w:rsidR="009C752E">
        <w:rPr>
          <w:rFonts w:ascii="Times New Roman" w:hAnsi="Times New Roman" w:cs="Times New Roman"/>
          <w:sz w:val="28"/>
          <w:szCs w:val="28"/>
        </w:rPr>
        <w:t>.</w:t>
      </w:r>
      <w:r w:rsidR="001659EB">
        <w:rPr>
          <w:rFonts w:ascii="Times New Roman" w:hAnsi="Times New Roman" w:cs="Times New Roman"/>
          <w:sz w:val="28"/>
          <w:szCs w:val="28"/>
        </w:rPr>
        <w:t xml:space="preserve"> </w:t>
      </w:r>
    </w:p>
    <w:p w:rsidR="00433C18" w:rsidRDefault="009C752E" w:rsidP="003741B5">
      <w:pPr>
        <w:tabs>
          <w:tab w:val="left" w:pos="851"/>
        </w:tabs>
        <w:spacing w:before="120" w:after="0" w:line="320" w:lineRule="exact"/>
        <w:ind w:firstLine="540"/>
        <w:jc w:val="both"/>
        <w:rPr>
          <w:rFonts w:ascii="Times New Roman" w:hAnsi="Times New Roman" w:cs="Times New Roman"/>
          <w:sz w:val="28"/>
          <w:szCs w:val="28"/>
        </w:rPr>
      </w:pPr>
      <w:r>
        <w:rPr>
          <w:rFonts w:ascii="Times New Roman" w:hAnsi="Times New Roman" w:cs="Times New Roman"/>
          <w:sz w:val="28"/>
          <w:szCs w:val="28"/>
        </w:rPr>
        <w:t>T</w:t>
      </w:r>
      <w:r w:rsidR="00883F41">
        <w:rPr>
          <w:rFonts w:ascii="Times New Roman" w:hAnsi="Times New Roman" w:cs="Times New Roman"/>
          <w:sz w:val="28"/>
          <w:szCs w:val="28"/>
        </w:rPr>
        <w:t>heo quy định t</w:t>
      </w:r>
      <w:r w:rsidR="00B064A0">
        <w:rPr>
          <w:rFonts w:ascii="Times New Roman" w:hAnsi="Times New Roman" w:cs="Times New Roman"/>
          <w:sz w:val="28"/>
          <w:szCs w:val="28"/>
        </w:rPr>
        <w:t>ại Điều 11 của Luật Kinh doanh bất động sản</w:t>
      </w:r>
      <w:r w:rsidR="00CB5B0D">
        <w:rPr>
          <w:rFonts w:ascii="Times New Roman" w:hAnsi="Times New Roman" w:cs="Times New Roman"/>
          <w:sz w:val="28"/>
          <w:szCs w:val="28"/>
        </w:rPr>
        <w:t xml:space="preserve"> thì doanh nghiệp </w:t>
      </w:r>
      <w:r w:rsidR="00B064A0">
        <w:rPr>
          <w:rFonts w:ascii="Times New Roman" w:hAnsi="Times New Roman" w:cs="Times New Roman"/>
          <w:sz w:val="28"/>
          <w:szCs w:val="28"/>
        </w:rPr>
        <w:t>được kinh doanh dưới hình thức “</w:t>
      </w:r>
      <w:r w:rsidR="00B064A0" w:rsidRPr="00B064A0">
        <w:rPr>
          <w:rFonts w:ascii="Times New Roman" w:hAnsi="Times New Roman" w:cs="Times New Roman"/>
          <w:i/>
          <w:sz w:val="28"/>
          <w:szCs w:val="28"/>
        </w:rPr>
        <w:t>Nhận chuyển nhượng toàn bộ hoặc một phần dự án bất động sản của chủ đầu tư để xây dựng nhà, công trình xây dựng để bán, cho thuê, cho thuê mua</w:t>
      </w:r>
      <w:r w:rsidR="00B064A0">
        <w:rPr>
          <w:rFonts w:ascii="Times New Roman" w:hAnsi="Times New Roman" w:cs="Times New Roman"/>
          <w:i/>
          <w:sz w:val="28"/>
          <w:szCs w:val="28"/>
        </w:rPr>
        <w:t>”.</w:t>
      </w:r>
      <w:r w:rsidR="00B064A0">
        <w:rPr>
          <w:rFonts w:ascii="Times New Roman" w:hAnsi="Times New Roman" w:cs="Times New Roman"/>
          <w:sz w:val="28"/>
          <w:szCs w:val="28"/>
        </w:rPr>
        <w:t xml:space="preserve"> </w:t>
      </w:r>
      <w:r w:rsidR="00442CD5">
        <w:rPr>
          <w:rFonts w:ascii="Times New Roman" w:hAnsi="Times New Roman" w:cs="Times New Roman"/>
          <w:sz w:val="28"/>
          <w:szCs w:val="28"/>
        </w:rPr>
        <w:t>Theo quy định nêu trên và các quy định tại Điều 48, 49, 52 của Luật Kinh doanh bất động sản</w:t>
      </w:r>
      <w:r w:rsidR="00CB5B0D">
        <w:rPr>
          <w:rFonts w:ascii="Times New Roman" w:hAnsi="Times New Roman" w:cs="Times New Roman"/>
          <w:sz w:val="28"/>
          <w:szCs w:val="28"/>
        </w:rPr>
        <w:t>,</w:t>
      </w:r>
      <w:r w:rsidR="00442CD5">
        <w:rPr>
          <w:rFonts w:ascii="Times New Roman" w:hAnsi="Times New Roman" w:cs="Times New Roman"/>
          <w:sz w:val="28"/>
          <w:szCs w:val="28"/>
        </w:rPr>
        <w:t xml:space="preserve"> đối với dự án bất động sản chưa hoàn thành đầu tư xây dựng thì chủ đầu tư có thể chuyển nhượng toàn bộ hoặc một phần dự án cho nhà đầu tư khác </w:t>
      </w:r>
      <w:r w:rsidR="00CB5B0D">
        <w:rPr>
          <w:rFonts w:ascii="Times New Roman" w:hAnsi="Times New Roman" w:cs="Times New Roman"/>
          <w:sz w:val="28"/>
          <w:szCs w:val="28"/>
        </w:rPr>
        <w:t xml:space="preserve">nếu đủ điều kiện theo quy định </w:t>
      </w:r>
      <w:r w:rsidR="00442CD5">
        <w:rPr>
          <w:rFonts w:ascii="Times New Roman" w:hAnsi="Times New Roman" w:cs="Times New Roman"/>
          <w:sz w:val="28"/>
          <w:szCs w:val="28"/>
        </w:rPr>
        <w:t xml:space="preserve">để </w:t>
      </w:r>
      <w:r w:rsidR="00432AD0" w:rsidRPr="00432AD0">
        <w:rPr>
          <w:rFonts w:ascii="Times New Roman" w:hAnsi="Times New Roman" w:cs="Times New Roman"/>
          <w:sz w:val="28"/>
          <w:szCs w:val="28"/>
        </w:rPr>
        <w:t>tiếp tục triển khai đầu tư xây dựng, kinh doanh dự án theo đúng tiến độ, nội dung của dự án đã được phê duyệt</w:t>
      </w:r>
      <w:r w:rsidR="00432AD0">
        <w:rPr>
          <w:rFonts w:ascii="Times New Roman" w:hAnsi="Times New Roman" w:cs="Times New Roman"/>
          <w:sz w:val="28"/>
          <w:szCs w:val="28"/>
        </w:rPr>
        <w:t>.</w:t>
      </w:r>
      <w:r>
        <w:rPr>
          <w:rFonts w:ascii="Times New Roman" w:hAnsi="Times New Roman" w:cs="Times New Roman"/>
          <w:sz w:val="28"/>
          <w:szCs w:val="28"/>
        </w:rPr>
        <w:t xml:space="preserve"> </w:t>
      </w:r>
      <w:r w:rsidR="00433C18">
        <w:rPr>
          <w:rFonts w:ascii="Times New Roman" w:hAnsi="Times New Roman" w:cs="Times New Roman"/>
          <w:sz w:val="28"/>
          <w:szCs w:val="28"/>
        </w:rPr>
        <w:t>Luật Kinh doanh bất động sản không quy định về việc áp dụng hình thức chuyển nhượng toàn bộ hoặc một phần dự án bất động sản đ</w:t>
      </w:r>
      <w:r w:rsidR="00226A38">
        <w:rPr>
          <w:rFonts w:ascii="Times New Roman" w:hAnsi="Times New Roman" w:cs="Times New Roman"/>
          <w:sz w:val="28"/>
          <w:szCs w:val="28"/>
        </w:rPr>
        <w:t>ối với t</w:t>
      </w:r>
      <w:r>
        <w:rPr>
          <w:rFonts w:ascii="Times New Roman" w:hAnsi="Times New Roman" w:cs="Times New Roman"/>
          <w:sz w:val="28"/>
          <w:szCs w:val="28"/>
        </w:rPr>
        <w:t xml:space="preserve">rường hợp đã hoàn thành đầu tư xây dựng công trình và </w:t>
      </w:r>
      <w:r w:rsidR="00226A38">
        <w:rPr>
          <w:rFonts w:ascii="Times New Roman" w:hAnsi="Times New Roman" w:cs="Times New Roman"/>
          <w:sz w:val="28"/>
          <w:szCs w:val="28"/>
        </w:rPr>
        <w:t>nhà, công trình xây dựng</w:t>
      </w:r>
      <w:r>
        <w:rPr>
          <w:rFonts w:ascii="Times New Roman" w:hAnsi="Times New Roman" w:cs="Times New Roman"/>
          <w:sz w:val="28"/>
          <w:szCs w:val="28"/>
        </w:rPr>
        <w:t xml:space="preserve"> đã được cấp giấy chứng nhận quyền sở hữ</w:t>
      </w:r>
      <w:r w:rsidR="00883F41">
        <w:rPr>
          <w:rFonts w:ascii="Times New Roman" w:hAnsi="Times New Roman" w:cs="Times New Roman"/>
          <w:sz w:val="28"/>
          <w:szCs w:val="28"/>
        </w:rPr>
        <w:t>u</w:t>
      </w:r>
      <w:r w:rsidR="00433C18">
        <w:rPr>
          <w:rFonts w:ascii="Times New Roman" w:hAnsi="Times New Roman" w:cs="Times New Roman"/>
          <w:sz w:val="28"/>
          <w:szCs w:val="28"/>
        </w:rPr>
        <w:t>.</w:t>
      </w:r>
    </w:p>
    <w:p w:rsidR="00226A38" w:rsidRPr="00433C18" w:rsidRDefault="00226A38" w:rsidP="003741B5">
      <w:pPr>
        <w:pStyle w:val="ListParagraph"/>
        <w:numPr>
          <w:ilvl w:val="0"/>
          <w:numId w:val="5"/>
        </w:numPr>
        <w:tabs>
          <w:tab w:val="left" w:pos="851"/>
        </w:tabs>
        <w:spacing w:before="120" w:after="0" w:line="320" w:lineRule="exact"/>
        <w:ind w:left="0" w:firstLine="567"/>
        <w:jc w:val="both"/>
        <w:rPr>
          <w:rFonts w:ascii="Times New Roman" w:hAnsi="Times New Roman" w:cs="Times New Roman"/>
          <w:sz w:val="28"/>
          <w:szCs w:val="28"/>
        </w:rPr>
      </w:pPr>
      <w:r w:rsidRPr="00433C18">
        <w:rPr>
          <w:rFonts w:ascii="Times New Roman" w:hAnsi="Times New Roman" w:cs="Times New Roman"/>
          <w:sz w:val="28"/>
          <w:szCs w:val="28"/>
        </w:rPr>
        <w:t xml:space="preserve">Về việc chủ đầu tư góp vốn bằng tài sản là bất động sản trong dự án để thành lập pháp nhân mới và việc chuyển nhượng vốn </w:t>
      </w:r>
      <w:r w:rsidR="00433C18">
        <w:rPr>
          <w:rFonts w:ascii="Times New Roman" w:hAnsi="Times New Roman" w:cs="Times New Roman"/>
          <w:sz w:val="28"/>
          <w:szCs w:val="28"/>
        </w:rPr>
        <w:t xml:space="preserve">góp </w:t>
      </w:r>
      <w:r w:rsidRPr="00433C18">
        <w:rPr>
          <w:rFonts w:ascii="Times New Roman" w:hAnsi="Times New Roman" w:cs="Times New Roman"/>
          <w:sz w:val="28"/>
          <w:szCs w:val="28"/>
        </w:rPr>
        <w:t>trong doanh nghiệp</w:t>
      </w:r>
      <w:r w:rsidR="00EB3AC7">
        <w:rPr>
          <w:rFonts w:ascii="Times New Roman" w:hAnsi="Times New Roman" w:cs="Times New Roman"/>
          <w:sz w:val="28"/>
          <w:szCs w:val="28"/>
        </w:rPr>
        <w:t>:</w:t>
      </w:r>
    </w:p>
    <w:p w:rsidR="00CB5B0D" w:rsidRDefault="00432AD0" w:rsidP="003741B5">
      <w:pPr>
        <w:pStyle w:val="ListParagraph"/>
        <w:numPr>
          <w:ilvl w:val="0"/>
          <w:numId w:val="6"/>
        </w:numPr>
        <w:tabs>
          <w:tab w:val="left" w:pos="900"/>
        </w:tabs>
        <w:spacing w:before="120" w:after="0" w:line="320" w:lineRule="exact"/>
        <w:ind w:left="0" w:firstLine="630"/>
        <w:jc w:val="both"/>
        <w:rPr>
          <w:rFonts w:ascii="Times New Roman" w:hAnsi="Times New Roman" w:cs="Times New Roman"/>
          <w:sz w:val="28"/>
          <w:szCs w:val="28"/>
        </w:rPr>
      </w:pPr>
      <w:r w:rsidRPr="00432AD0">
        <w:rPr>
          <w:rFonts w:ascii="Times New Roman" w:hAnsi="Times New Roman" w:cs="Times New Roman"/>
          <w:sz w:val="28"/>
          <w:szCs w:val="28"/>
        </w:rPr>
        <w:t xml:space="preserve">Trường hợp Công ty sử dụng nhà ở trong dự án để góp vốn </w:t>
      </w:r>
      <w:r w:rsidR="00AF3BFD" w:rsidRPr="00432AD0">
        <w:rPr>
          <w:rFonts w:ascii="Times New Roman" w:hAnsi="Times New Roman" w:cs="Times New Roman"/>
          <w:sz w:val="28"/>
          <w:szCs w:val="28"/>
        </w:rPr>
        <w:t>tham gia hoạt động kinh doanh thì thực hiện theo</w:t>
      </w:r>
      <w:r w:rsidR="0054095C" w:rsidRPr="00432AD0">
        <w:rPr>
          <w:rFonts w:ascii="Times New Roman" w:hAnsi="Times New Roman" w:cs="Times New Roman"/>
          <w:sz w:val="28"/>
          <w:szCs w:val="28"/>
        </w:rPr>
        <w:t xml:space="preserve"> </w:t>
      </w:r>
      <w:r w:rsidRPr="00432AD0">
        <w:rPr>
          <w:rFonts w:ascii="Times New Roman" w:hAnsi="Times New Roman" w:cs="Times New Roman"/>
          <w:sz w:val="28"/>
          <w:szCs w:val="28"/>
        </w:rPr>
        <w:t>quy định tại Điều 150 của Luật Nhà ở.</w:t>
      </w:r>
      <w:r>
        <w:rPr>
          <w:rFonts w:ascii="Times New Roman" w:hAnsi="Times New Roman" w:cs="Times New Roman"/>
          <w:sz w:val="28"/>
          <w:szCs w:val="28"/>
        </w:rPr>
        <w:t xml:space="preserve"> </w:t>
      </w:r>
    </w:p>
    <w:p w:rsidR="00432AD0" w:rsidRDefault="00CD4667" w:rsidP="003741B5">
      <w:pPr>
        <w:pStyle w:val="ListParagraph"/>
        <w:numPr>
          <w:ilvl w:val="0"/>
          <w:numId w:val="6"/>
        </w:numPr>
        <w:tabs>
          <w:tab w:val="left" w:pos="900"/>
        </w:tabs>
        <w:spacing w:before="120" w:after="0" w:line="320" w:lineRule="exact"/>
        <w:ind w:left="0" w:firstLine="630"/>
        <w:jc w:val="both"/>
        <w:rPr>
          <w:rFonts w:ascii="Times New Roman" w:hAnsi="Times New Roman" w:cs="Times New Roman"/>
          <w:sz w:val="28"/>
          <w:szCs w:val="28"/>
        </w:rPr>
      </w:pPr>
      <w:r>
        <w:rPr>
          <w:rFonts w:ascii="Times New Roman" w:hAnsi="Times New Roman" w:cs="Times New Roman"/>
          <w:sz w:val="28"/>
          <w:szCs w:val="28"/>
        </w:rPr>
        <w:t>T</w:t>
      </w:r>
      <w:r w:rsidR="00432AD0">
        <w:rPr>
          <w:rFonts w:ascii="Times New Roman" w:hAnsi="Times New Roman" w:cs="Times New Roman"/>
          <w:sz w:val="28"/>
          <w:szCs w:val="28"/>
        </w:rPr>
        <w:t xml:space="preserve">rường hợp Công ty sử dụng quyền sử dụng đất và các công trình xây dựng khác (không phải là nhà ở) trong dự án để </w:t>
      </w:r>
      <w:r w:rsidR="00432AD0" w:rsidRPr="00432AD0">
        <w:rPr>
          <w:rFonts w:ascii="Times New Roman" w:hAnsi="Times New Roman" w:cs="Times New Roman"/>
          <w:sz w:val="28"/>
          <w:szCs w:val="28"/>
        </w:rPr>
        <w:t>góp vốn tham gia hoạt độ</w:t>
      </w:r>
      <w:r w:rsidR="00432AD0">
        <w:rPr>
          <w:rFonts w:ascii="Times New Roman" w:hAnsi="Times New Roman" w:cs="Times New Roman"/>
          <w:sz w:val="28"/>
          <w:szCs w:val="28"/>
        </w:rPr>
        <w:t xml:space="preserve">ng kinh </w:t>
      </w:r>
      <w:r w:rsidR="00432AD0">
        <w:rPr>
          <w:rFonts w:ascii="Times New Roman" w:hAnsi="Times New Roman" w:cs="Times New Roman"/>
          <w:sz w:val="28"/>
          <w:szCs w:val="28"/>
        </w:rPr>
        <w:lastRenderedPageBreak/>
        <w:t>doanh, thành lập doanh nghiệp mới</w:t>
      </w:r>
      <w:r w:rsidR="00CB5B0D">
        <w:rPr>
          <w:rFonts w:ascii="Times New Roman" w:hAnsi="Times New Roman" w:cs="Times New Roman"/>
          <w:sz w:val="28"/>
          <w:szCs w:val="28"/>
        </w:rPr>
        <w:t>, chuyển nhượng vốn</w:t>
      </w:r>
      <w:r w:rsidR="00432AD0">
        <w:rPr>
          <w:rFonts w:ascii="Times New Roman" w:hAnsi="Times New Roman" w:cs="Times New Roman"/>
          <w:sz w:val="28"/>
          <w:szCs w:val="28"/>
        </w:rPr>
        <w:t xml:space="preserve"> thì thực hiện theo các quy định của pháp luật về </w:t>
      </w:r>
      <w:r>
        <w:rPr>
          <w:rFonts w:ascii="Times New Roman" w:hAnsi="Times New Roman" w:cs="Times New Roman"/>
          <w:sz w:val="28"/>
          <w:szCs w:val="28"/>
        </w:rPr>
        <w:t xml:space="preserve">đầu tư, </w:t>
      </w:r>
      <w:r w:rsidR="00771343">
        <w:rPr>
          <w:rFonts w:ascii="Times New Roman" w:hAnsi="Times New Roman" w:cs="Times New Roman"/>
          <w:sz w:val="28"/>
          <w:szCs w:val="28"/>
        </w:rPr>
        <w:t xml:space="preserve">doanh nghiệp, </w:t>
      </w:r>
      <w:r w:rsidR="00432AD0">
        <w:rPr>
          <w:rFonts w:ascii="Times New Roman" w:hAnsi="Times New Roman" w:cs="Times New Roman"/>
          <w:sz w:val="28"/>
          <w:szCs w:val="28"/>
        </w:rPr>
        <w:t>dân sự</w:t>
      </w:r>
      <w:r w:rsidR="000B5196">
        <w:rPr>
          <w:rFonts w:ascii="Times New Roman" w:hAnsi="Times New Roman" w:cs="Times New Roman"/>
          <w:sz w:val="28"/>
          <w:szCs w:val="28"/>
        </w:rPr>
        <w:t>,</w:t>
      </w:r>
      <w:r w:rsidR="00432AD0">
        <w:rPr>
          <w:rFonts w:ascii="Times New Roman" w:hAnsi="Times New Roman" w:cs="Times New Roman"/>
          <w:sz w:val="28"/>
          <w:szCs w:val="28"/>
        </w:rPr>
        <w:t xml:space="preserve"> đấ</w:t>
      </w:r>
      <w:r w:rsidR="002A075A">
        <w:rPr>
          <w:rFonts w:ascii="Times New Roman" w:hAnsi="Times New Roman" w:cs="Times New Roman"/>
          <w:sz w:val="28"/>
          <w:szCs w:val="28"/>
        </w:rPr>
        <w:t>t đa</w:t>
      </w:r>
      <w:r w:rsidR="000B5196">
        <w:rPr>
          <w:rFonts w:ascii="Times New Roman" w:hAnsi="Times New Roman" w:cs="Times New Roman"/>
          <w:sz w:val="28"/>
          <w:szCs w:val="28"/>
        </w:rPr>
        <w:t>i và pháp luật khác có liên quan</w:t>
      </w:r>
      <w:r w:rsidR="00432AD0">
        <w:rPr>
          <w:rFonts w:ascii="Times New Roman" w:hAnsi="Times New Roman" w:cs="Times New Roman"/>
          <w:sz w:val="28"/>
          <w:szCs w:val="28"/>
        </w:rPr>
        <w:t>.</w:t>
      </w:r>
    </w:p>
    <w:p w:rsidR="00BE6084" w:rsidRDefault="00B936DC" w:rsidP="003741B5">
      <w:pPr>
        <w:pStyle w:val="ListParagraph"/>
        <w:tabs>
          <w:tab w:val="left" w:pos="993"/>
        </w:tabs>
        <w:spacing w:before="120" w:after="0" w:line="320" w:lineRule="exact"/>
        <w:ind w:left="0" w:firstLine="567"/>
        <w:jc w:val="both"/>
        <w:rPr>
          <w:rFonts w:ascii="Times New Roman" w:hAnsi="Times New Roman" w:cs="Times New Roman"/>
          <w:sz w:val="28"/>
          <w:szCs w:val="28"/>
        </w:rPr>
      </w:pPr>
      <w:r>
        <w:rPr>
          <w:rFonts w:ascii="Times New Roman" w:hAnsi="Times New Roman" w:cs="Times New Roman"/>
          <w:sz w:val="28"/>
          <w:szCs w:val="28"/>
        </w:rPr>
        <w:t xml:space="preserve">Trên </w:t>
      </w:r>
      <w:r w:rsidR="00BE6084" w:rsidRPr="00607BE6">
        <w:rPr>
          <w:rFonts w:ascii="Times New Roman" w:hAnsi="Times New Roman" w:cs="Times New Roman"/>
          <w:sz w:val="28"/>
          <w:szCs w:val="28"/>
        </w:rPr>
        <w:t xml:space="preserve">đây là ý kiến của Bộ Xây dựng </w:t>
      </w:r>
      <w:r w:rsidR="0019586D">
        <w:rPr>
          <w:rFonts w:ascii="Times New Roman" w:hAnsi="Times New Roman" w:cs="Times New Roman"/>
          <w:sz w:val="28"/>
          <w:szCs w:val="28"/>
        </w:rPr>
        <w:t>trả lời</w:t>
      </w:r>
      <w:r w:rsidR="00BE6084" w:rsidRPr="00607BE6">
        <w:rPr>
          <w:rFonts w:ascii="Times New Roman" w:hAnsi="Times New Roman" w:cs="Times New Roman"/>
          <w:sz w:val="28"/>
          <w:szCs w:val="28"/>
        </w:rPr>
        <w:t xml:space="preserve"> văn bản số</w:t>
      </w:r>
      <w:r w:rsidR="002B5A32">
        <w:rPr>
          <w:rFonts w:ascii="Times New Roman" w:hAnsi="Times New Roman" w:cs="Times New Roman"/>
          <w:sz w:val="28"/>
          <w:szCs w:val="28"/>
        </w:rPr>
        <w:t xml:space="preserve"> </w:t>
      </w:r>
      <w:r w:rsidR="00280A8E" w:rsidRPr="00280A8E">
        <w:rPr>
          <w:rFonts w:ascii="Times New Roman" w:hAnsi="Times New Roman" w:cs="Times New Roman"/>
          <w:sz w:val="28"/>
          <w:szCs w:val="28"/>
        </w:rPr>
        <w:t>0502/2018/CV ngày 02/5/2018 của Công ty TNHH Đá xây dự</w:t>
      </w:r>
      <w:r w:rsidR="00EB3AC7">
        <w:rPr>
          <w:rFonts w:ascii="Times New Roman" w:hAnsi="Times New Roman" w:cs="Times New Roman"/>
          <w:sz w:val="28"/>
          <w:szCs w:val="28"/>
        </w:rPr>
        <w:t>ng Bình Dương. Đề nghị Công ty TNHH Đá xây dựng Bình Dương nghiên cứu, thực hiện theo quy định của pháp luật</w:t>
      </w:r>
      <w:r w:rsidR="00BE6084" w:rsidRPr="00607BE6">
        <w:rPr>
          <w:rFonts w:ascii="Times New Roman" w:hAnsi="Times New Roman" w:cs="Times New Roman"/>
          <w:sz w:val="28"/>
          <w:szCs w:val="28"/>
        </w:rPr>
        <w:t>./.</w:t>
      </w:r>
    </w:p>
    <w:p w:rsidR="00BE6084" w:rsidRDefault="00BE6084" w:rsidP="00CD4667">
      <w:pPr>
        <w:pStyle w:val="ListParagraph"/>
        <w:tabs>
          <w:tab w:val="left" w:pos="993"/>
        </w:tabs>
        <w:spacing w:before="120" w:after="0" w:line="380" w:lineRule="exact"/>
        <w:ind w:left="0" w:firstLine="562"/>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5121"/>
      </w:tblGrid>
      <w:tr w:rsidR="00BE6084" w:rsidRPr="00607BE6" w:rsidTr="00AE0BD1">
        <w:tc>
          <w:tcPr>
            <w:tcW w:w="4343" w:type="dxa"/>
          </w:tcPr>
          <w:p w:rsidR="00BE6084" w:rsidRPr="00607BE6" w:rsidRDefault="00BE6084" w:rsidP="00BE6084">
            <w:pPr>
              <w:pStyle w:val="ListParagraph"/>
              <w:tabs>
                <w:tab w:val="left" w:pos="993"/>
              </w:tabs>
              <w:spacing w:after="120"/>
              <w:ind w:left="0"/>
              <w:jc w:val="both"/>
              <w:rPr>
                <w:rFonts w:ascii="Times New Roman" w:hAnsi="Times New Roman" w:cs="Times New Roman"/>
                <w:b/>
                <w:i/>
                <w:sz w:val="24"/>
                <w:szCs w:val="24"/>
              </w:rPr>
            </w:pPr>
          </w:p>
          <w:p w:rsidR="00BE6084" w:rsidRDefault="00BE6084" w:rsidP="00AE0BD1">
            <w:pPr>
              <w:pStyle w:val="ListParagraph"/>
              <w:tabs>
                <w:tab w:val="left" w:pos="993"/>
              </w:tabs>
              <w:ind w:left="0"/>
              <w:jc w:val="both"/>
              <w:rPr>
                <w:rFonts w:ascii="Times New Roman" w:hAnsi="Times New Roman" w:cs="Times New Roman"/>
                <w:b/>
                <w:i/>
                <w:sz w:val="24"/>
                <w:szCs w:val="24"/>
              </w:rPr>
            </w:pPr>
          </w:p>
          <w:p w:rsidR="00BE6084" w:rsidRPr="00607BE6" w:rsidRDefault="00BE6084" w:rsidP="00AE0BD1">
            <w:pPr>
              <w:pStyle w:val="ListParagraph"/>
              <w:tabs>
                <w:tab w:val="left" w:pos="993"/>
              </w:tabs>
              <w:ind w:left="0"/>
              <w:jc w:val="both"/>
              <w:rPr>
                <w:rFonts w:ascii="Times New Roman" w:hAnsi="Times New Roman" w:cs="Times New Roman"/>
                <w:b/>
                <w:i/>
                <w:sz w:val="24"/>
                <w:szCs w:val="24"/>
              </w:rPr>
            </w:pPr>
            <w:r w:rsidRPr="00607BE6">
              <w:rPr>
                <w:rFonts w:ascii="Times New Roman" w:hAnsi="Times New Roman" w:cs="Times New Roman"/>
                <w:b/>
                <w:i/>
                <w:sz w:val="24"/>
                <w:szCs w:val="24"/>
              </w:rPr>
              <w:t>Nơi nhận:</w:t>
            </w:r>
          </w:p>
        </w:tc>
        <w:tc>
          <w:tcPr>
            <w:tcW w:w="5121" w:type="dxa"/>
          </w:tcPr>
          <w:p w:rsidR="00BE6084" w:rsidRPr="00607BE6" w:rsidRDefault="00BE6084" w:rsidP="00AE0BD1">
            <w:pPr>
              <w:pStyle w:val="ListParagraph"/>
              <w:tabs>
                <w:tab w:val="left" w:pos="993"/>
              </w:tabs>
              <w:spacing w:before="240"/>
              <w:ind w:left="0"/>
              <w:jc w:val="center"/>
              <w:rPr>
                <w:rFonts w:ascii="Times New Roman" w:hAnsi="Times New Roman" w:cs="Times New Roman"/>
                <w:b/>
                <w:sz w:val="28"/>
                <w:szCs w:val="28"/>
              </w:rPr>
            </w:pPr>
            <w:r w:rsidRPr="00607BE6">
              <w:rPr>
                <w:rFonts w:ascii="Times New Roman" w:hAnsi="Times New Roman" w:cs="Times New Roman"/>
                <w:b/>
                <w:sz w:val="28"/>
                <w:szCs w:val="28"/>
              </w:rPr>
              <w:t>TL. BỘ TRƯỞNG</w:t>
            </w:r>
          </w:p>
          <w:p w:rsidR="00BE6084" w:rsidRPr="00607BE6" w:rsidRDefault="00BE6084" w:rsidP="00AE0BD1">
            <w:pPr>
              <w:pStyle w:val="ListParagraph"/>
              <w:tabs>
                <w:tab w:val="left" w:pos="993"/>
              </w:tabs>
              <w:ind w:left="0"/>
              <w:jc w:val="center"/>
              <w:rPr>
                <w:rFonts w:ascii="Times New Roman" w:hAnsi="Times New Roman" w:cs="Times New Roman"/>
                <w:sz w:val="28"/>
                <w:szCs w:val="28"/>
              </w:rPr>
            </w:pPr>
            <w:r w:rsidRPr="00607BE6">
              <w:rPr>
                <w:rFonts w:ascii="Times New Roman" w:hAnsi="Times New Roman" w:cs="Times New Roman"/>
                <w:b/>
                <w:sz w:val="28"/>
                <w:szCs w:val="28"/>
              </w:rPr>
              <w:t>CỤC TRƯỞNG CỤC QUẢN LÝ NHÀ VÀ THỊ TRƯỜNG BẤT ĐỘNG SẢN</w:t>
            </w:r>
          </w:p>
        </w:tc>
      </w:tr>
      <w:tr w:rsidR="00BE6084" w:rsidTr="00AE0BD1">
        <w:tc>
          <w:tcPr>
            <w:tcW w:w="4343" w:type="dxa"/>
          </w:tcPr>
          <w:p w:rsidR="00BE6084" w:rsidRPr="003A7614" w:rsidRDefault="00BE6084" w:rsidP="00BE6084">
            <w:pPr>
              <w:pStyle w:val="ListParagraph"/>
              <w:numPr>
                <w:ilvl w:val="0"/>
                <w:numId w:val="2"/>
              </w:numPr>
              <w:tabs>
                <w:tab w:val="left" w:pos="993"/>
              </w:tabs>
              <w:spacing w:line="240" w:lineRule="atLeast"/>
              <w:ind w:left="0" w:hanging="142"/>
              <w:jc w:val="both"/>
              <w:rPr>
                <w:rFonts w:ascii="Times New Roman" w:hAnsi="Times New Roman" w:cs="Times New Roman"/>
              </w:rPr>
            </w:pPr>
            <w:r w:rsidRPr="003A7614">
              <w:rPr>
                <w:rFonts w:ascii="Times New Roman" w:hAnsi="Times New Roman" w:cs="Times New Roman"/>
              </w:rPr>
              <w:t>Như trên;</w:t>
            </w:r>
          </w:p>
          <w:p w:rsidR="00BE6084" w:rsidRPr="003A7614" w:rsidRDefault="00BE6084" w:rsidP="00BE6084">
            <w:pPr>
              <w:pStyle w:val="ListParagraph"/>
              <w:numPr>
                <w:ilvl w:val="0"/>
                <w:numId w:val="2"/>
              </w:numPr>
              <w:tabs>
                <w:tab w:val="left" w:pos="993"/>
              </w:tabs>
              <w:spacing w:line="240" w:lineRule="atLeast"/>
              <w:ind w:left="0" w:hanging="142"/>
              <w:jc w:val="both"/>
              <w:rPr>
                <w:rFonts w:ascii="Times New Roman" w:hAnsi="Times New Roman" w:cs="Times New Roman"/>
              </w:rPr>
            </w:pPr>
            <w:r w:rsidRPr="003A7614">
              <w:rPr>
                <w:rFonts w:ascii="Times New Roman" w:hAnsi="Times New Roman" w:cs="Times New Roman"/>
              </w:rPr>
              <w:t>TT Nguyễn Văn Sinh (để b/c);</w:t>
            </w:r>
          </w:p>
          <w:p w:rsidR="00BE6084" w:rsidRPr="003A7614" w:rsidRDefault="00BE6084" w:rsidP="00BE6084">
            <w:pPr>
              <w:pStyle w:val="ListParagraph"/>
              <w:numPr>
                <w:ilvl w:val="0"/>
                <w:numId w:val="2"/>
              </w:numPr>
              <w:tabs>
                <w:tab w:val="left" w:pos="993"/>
              </w:tabs>
              <w:spacing w:line="240" w:lineRule="atLeast"/>
              <w:ind w:left="0" w:hanging="142"/>
              <w:jc w:val="both"/>
              <w:rPr>
                <w:rFonts w:ascii="Times New Roman" w:hAnsi="Times New Roman" w:cs="Times New Roman"/>
              </w:rPr>
            </w:pPr>
            <w:r w:rsidRPr="003A7614">
              <w:rPr>
                <w:rFonts w:ascii="Times New Roman" w:hAnsi="Times New Roman" w:cs="Times New Roman"/>
              </w:rPr>
              <w:t>Lưu: VT, QLN (03).</w:t>
            </w:r>
          </w:p>
          <w:p w:rsidR="00BE6084" w:rsidRPr="003A7614" w:rsidRDefault="00BE6084" w:rsidP="00AE0BD1">
            <w:pPr>
              <w:tabs>
                <w:tab w:val="left" w:pos="993"/>
              </w:tabs>
              <w:ind w:left="66"/>
              <w:jc w:val="both"/>
              <w:rPr>
                <w:rFonts w:ascii="Times New Roman" w:hAnsi="Times New Roman" w:cs="Times New Roman"/>
                <w:sz w:val="28"/>
                <w:szCs w:val="28"/>
              </w:rPr>
            </w:pPr>
          </w:p>
        </w:tc>
        <w:tc>
          <w:tcPr>
            <w:tcW w:w="5121" w:type="dxa"/>
          </w:tcPr>
          <w:p w:rsidR="00BE6084" w:rsidRPr="00607BE6" w:rsidRDefault="00BE6084" w:rsidP="00AE0BD1">
            <w:pPr>
              <w:pStyle w:val="ListParagraph"/>
              <w:tabs>
                <w:tab w:val="left" w:pos="993"/>
              </w:tabs>
              <w:ind w:left="0"/>
              <w:jc w:val="both"/>
              <w:rPr>
                <w:rFonts w:ascii="Times New Roman" w:hAnsi="Times New Roman" w:cs="Times New Roman"/>
                <w:sz w:val="28"/>
                <w:szCs w:val="28"/>
              </w:rPr>
            </w:pPr>
          </w:p>
          <w:p w:rsidR="00BE6084" w:rsidRPr="00607BE6" w:rsidRDefault="00BE6084" w:rsidP="00AE0BD1">
            <w:pPr>
              <w:pStyle w:val="ListParagraph"/>
              <w:tabs>
                <w:tab w:val="left" w:pos="993"/>
              </w:tabs>
              <w:ind w:left="0"/>
              <w:jc w:val="both"/>
              <w:rPr>
                <w:rFonts w:ascii="Times New Roman" w:hAnsi="Times New Roman" w:cs="Times New Roman"/>
                <w:sz w:val="28"/>
                <w:szCs w:val="28"/>
              </w:rPr>
            </w:pPr>
          </w:p>
          <w:p w:rsidR="00BE6084" w:rsidRPr="00607BE6" w:rsidRDefault="00BE6084" w:rsidP="00AE0BD1">
            <w:pPr>
              <w:pStyle w:val="ListParagraph"/>
              <w:tabs>
                <w:tab w:val="left" w:pos="993"/>
              </w:tabs>
              <w:ind w:left="0"/>
              <w:jc w:val="both"/>
              <w:rPr>
                <w:rFonts w:ascii="Times New Roman" w:hAnsi="Times New Roman" w:cs="Times New Roman"/>
                <w:sz w:val="28"/>
                <w:szCs w:val="28"/>
              </w:rPr>
            </w:pPr>
          </w:p>
          <w:p w:rsidR="00FC2E7A" w:rsidRPr="00FC2E7A" w:rsidRDefault="00FC2E7A" w:rsidP="006B7A2E">
            <w:pPr>
              <w:spacing w:before="120" w:after="120"/>
              <w:jc w:val="center"/>
              <w:rPr>
                <w:rFonts w:ascii="Times New Roman" w:hAnsi="Times New Roman"/>
                <w:sz w:val="28"/>
                <w:szCs w:val="28"/>
              </w:rPr>
            </w:pPr>
            <w:bookmarkStart w:id="0" w:name="_GoBack"/>
            <w:r w:rsidRPr="00FC2E7A">
              <w:rPr>
                <w:rFonts w:ascii="Times New Roman" w:hAnsi="Times New Roman"/>
                <w:sz w:val="28"/>
                <w:szCs w:val="28"/>
              </w:rPr>
              <w:t>(đã ký)</w:t>
            </w:r>
          </w:p>
          <w:bookmarkEnd w:id="0"/>
          <w:p w:rsidR="00BE6084" w:rsidRDefault="00FC2E7A" w:rsidP="00FC2E7A">
            <w:pPr>
              <w:pStyle w:val="ListParagraph"/>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BE6084" w:rsidRPr="00607BE6" w:rsidRDefault="00BE6084" w:rsidP="00AE0BD1">
            <w:pPr>
              <w:pStyle w:val="ListParagraph"/>
              <w:tabs>
                <w:tab w:val="left" w:pos="993"/>
              </w:tabs>
              <w:ind w:left="0"/>
              <w:jc w:val="center"/>
              <w:rPr>
                <w:rFonts w:ascii="Times New Roman" w:hAnsi="Times New Roman" w:cs="Times New Roman"/>
                <w:sz w:val="28"/>
                <w:szCs w:val="28"/>
              </w:rPr>
            </w:pPr>
          </w:p>
          <w:p w:rsidR="00BE6084" w:rsidRPr="007A240E" w:rsidRDefault="00BE6084" w:rsidP="00AE0BD1">
            <w:pPr>
              <w:pStyle w:val="ListParagraph"/>
              <w:tabs>
                <w:tab w:val="left" w:pos="993"/>
              </w:tabs>
              <w:ind w:left="0"/>
              <w:jc w:val="center"/>
              <w:rPr>
                <w:rFonts w:ascii="Times New Roman" w:hAnsi="Times New Roman" w:cs="Times New Roman"/>
                <w:b/>
                <w:sz w:val="28"/>
                <w:szCs w:val="28"/>
              </w:rPr>
            </w:pPr>
            <w:r w:rsidRPr="00607BE6">
              <w:rPr>
                <w:rFonts w:ascii="Times New Roman" w:hAnsi="Times New Roman" w:cs="Times New Roman"/>
                <w:b/>
                <w:sz w:val="28"/>
                <w:szCs w:val="28"/>
              </w:rPr>
              <w:t>Nguyễn Trọng Ninh</w:t>
            </w:r>
          </w:p>
        </w:tc>
      </w:tr>
    </w:tbl>
    <w:p w:rsidR="00BE6084" w:rsidRPr="007A240E" w:rsidRDefault="00BE6084" w:rsidP="00BE6084">
      <w:pPr>
        <w:pStyle w:val="ListParagraph"/>
        <w:tabs>
          <w:tab w:val="left" w:pos="993"/>
        </w:tabs>
        <w:ind w:left="0" w:firstLine="567"/>
        <w:jc w:val="both"/>
        <w:rPr>
          <w:rFonts w:ascii="Times New Roman" w:hAnsi="Times New Roman" w:cs="Times New Roman"/>
          <w:sz w:val="28"/>
          <w:szCs w:val="28"/>
        </w:rPr>
      </w:pPr>
    </w:p>
    <w:p w:rsidR="00BE6084" w:rsidRPr="00586E31" w:rsidRDefault="00BE6084" w:rsidP="00BE6084">
      <w:pPr>
        <w:pStyle w:val="ListParagraph"/>
        <w:tabs>
          <w:tab w:val="left" w:pos="993"/>
        </w:tabs>
        <w:ind w:left="0" w:firstLine="567"/>
        <w:jc w:val="both"/>
        <w:rPr>
          <w:rFonts w:ascii="Times New Roman" w:hAnsi="Times New Roman" w:cs="Times New Roman"/>
          <w:sz w:val="24"/>
          <w:szCs w:val="24"/>
        </w:rPr>
      </w:pPr>
    </w:p>
    <w:p w:rsidR="002F3C72" w:rsidRPr="00BE6084" w:rsidRDefault="002F3C72">
      <w:pPr>
        <w:rPr>
          <w:rFonts w:ascii="Times New Roman" w:hAnsi="Times New Roman" w:cs="Times New Roman"/>
        </w:rPr>
      </w:pPr>
    </w:p>
    <w:sectPr w:rsidR="002F3C72" w:rsidRPr="00BE6084" w:rsidSect="003741B5">
      <w:pgSz w:w="11907" w:h="16839" w:code="9"/>
      <w:pgMar w:top="1080" w:right="992" w:bottom="135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939"/>
    <w:multiLevelType w:val="hybridMultilevel"/>
    <w:tmpl w:val="142C2D1A"/>
    <w:lvl w:ilvl="0" w:tplc="9626BB7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FDD4B03"/>
    <w:multiLevelType w:val="hybridMultilevel"/>
    <w:tmpl w:val="833C3C9A"/>
    <w:lvl w:ilvl="0" w:tplc="9036D5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3077BD3"/>
    <w:multiLevelType w:val="hybridMultilevel"/>
    <w:tmpl w:val="1970213C"/>
    <w:lvl w:ilvl="0" w:tplc="F2E873C0">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E8A75B6"/>
    <w:multiLevelType w:val="hybridMultilevel"/>
    <w:tmpl w:val="F58E093C"/>
    <w:lvl w:ilvl="0" w:tplc="75D849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D74AD"/>
    <w:multiLevelType w:val="hybridMultilevel"/>
    <w:tmpl w:val="6ED2EFD4"/>
    <w:lvl w:ilvl="0" w:tplc="1F9AC2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541E2A"/>
    <w:multiLevelType w:val="hybridMultilevel"/>
    <w:tmpl w:val="AD82C1B6"/>
    <w:lvl w:ilvl="0" w:tplc="0A363218">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4"/>
    <w:rsid w:val="00003227"/>
    <w:rsid w:val="00070704"/>
    <w:rsid w:val="00092A11"/>
    <w:rsid w:val="000B3282"/>
    <w:rsid w:val="000B5196"/>
    <w:rsid w:val="000B7908"/>
    <w:rsid w:val="001503E7"/>
    <w:rsid w:val="001659EB"/>
    <w:rsid w:val="00174229"/>
    <w:rsid w:val="0019586D"/>
    <w:rsid w:val="001C193C"/>
    <w:rsid w:val="00226A38"/>
    <w:rsid w:val="002416D3"/>
    <w:rsid w:val="00280A8E"/>
    <w:rsid w:val="002A075A"/>
    <w:rsid w:val="002A240D"/>
    <w:rsid w:val="002B5A32"/>
    <w:rsid w:val="002F3C72"/>
    <w:rsid w:val="003255EF"/>
    <w:rsid w:val="00341B4A"/>
    <w:rsid w:val="00344ACF"/>
    <w:rsid w:val="003741B5"/>
    <w:rsid w:val="0040764B"/>
    <w:rsid w:val="004325AD"/>
    <w:rsid w:val="00432AD0"/>
    <w:rsid w:val="00433C18"/>
    <w:rsid w:val="00442CD5"/>
    <w:rsid w:val="00457F8A"/>
    <w:rsid w:val="00533FA7"/>
    <w:rsid w:val="005400B1"/>
    <w:rsid w:val="0054095C"/>
    <w:rsid w:val="005912CB"/>
    <w:rsid w:val="00664C51"/>
    <w:rsid w:val="006665A1"/>
    <w:rsid w:val="00677F13"/>
    <w:rsid w:val="006C717B"/>
    <w:rsid w:val="00756B7C"/>
    <w:rsid w:val="00771343"/>
    <w:rsid w:val="007D5D7E"/>
    <w:rsid w:val="007E5651"/>
    <w:rsid w:val="0084558F"/>
    <w:rsid w:val="00881AA1"/>
    <w:rsid w:val="00883B5A"/>
    <w:rsid w:val="00883F41"/>
    <w:rsid w:val="00893B0B"/>
    <w:rsid w:val="008D3585"/>
    <w:rsid w:val="009329F1"/>
    <w:rsid w:val="009C752E"/>
    <w:rsid w:val="00A34F01"/>
    <w:rsid w:val="00A667D8"/>
    <w:rsid w:val="00A82034"/>
    <w:rsid w:val="00A9270B"/>
    <w:rsid w:val="00A96507"/>
    <w:rsid w:val="00AE0BD1"/>
    <w:rsid w:val="00AF3BFD"/>
    <w:rsid w:val="00AF5273"/>
    <w:rsid w:val="00B064A0"/>
    <w:rsid w:val="00B86864"/>
    <w:rsid w:val="00B936DC"/>
    <w:rsid w:val="00BE6084"/>
    <w:rsid w:val="00C224F5"/>
    <w:rsid w:val="00C37A8A"/>
    <w:rsid w:val="00CB0FBF"/>
    <w:rsid w:val="00CB5B0D"/>
    <w:rsid w:val="00CD4667"/>
    <w:rsid w:val="00CE55E2"/>
    <w:rsid w:val="00D07734"/>
    <w:rsid w:val="00D36792"/>
    <w:rsid w:val="00DF519F"/>
    <w:rsid w:val="00E32C46"/>
    <w:rsid w:val="00EB2DC8"/>
    <w:rsid w:val="00EB3AC7"/>
    <w:rsid w:val="00F14A39"/>
    <w:rsid w:val="00F2624F"/>
    <w:rsid w:val="00FA047B"/>
    <w:rsid w:val="00FC2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084"/>
    <w:pPr>
      <w:ind w:left="720"/>
      <w:contextualSpacing/>
    </w:pPr>
  </w:style>
  <w:style w:type="table" w:styleId="TableGrid">
    <w:name w:val="Table Grid"/>
    <w:basedOn w:val="TableNormal"/>
    <w:uiPriority w:val="59"/>
    <w:rsid w:val="00BE6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80A8E"/>
    <w:pPr>
      <w:pageBreakBefore/>
      <w:spacing w:before="100" w:beforeAutospacing="1" w:after="100" w:afterAutospacing="1" w:line="240" w:lineRule="auto"/>
    </w:pPr>
    <w:rPr>
      <w:rFonts w:ascii="Tahoma" w:eastAsia="Times New Roman" w:hAnsi="Tahoma" w:cs="Tahoma"/>
      <w:sz w:val="20"/>
      <w:szCs w:val="20"/>
    </w:rPr>
  </w:style>
  <w:style w:type="paragraph" w:customStyle="1" w:styleId="Char0">
    <w:name w:val="Char"/>
    <w:basedOn w:val="Normal"/>
    <w:rsid w:val="00B064A0"/>
    <w:pPr>
      <w:pageBreakBefore/>
      <w:spacing w:before="100" w:beforeAutospacing="1" w:after="100" w:afterAutospacing="1" w:line="240" w:lineRule="auto"/>
    </w:pPr>
    <w:rPr>
      <w:rFonts w:ascii="Tahoma" w:eastAsia="Times New Roman" w:hAnsi="Tahoma" w:cs="Tahoma"/>
      <w:sz w:val="20"/>
      <w:szCs w:val="20"/>
    </w:rPr>
  </w:style>
  <w:style w:type="paragraph" w:customStyle="1" w:styleId="Char1">
    <w:name w:val="Char"/>
    <w:basedOn w:val="Normal"/>
    <w:rsid w:val="00432AD0"/>
    <w:pPr>
      <w:pageBreakBefore/>
      <w:spacing w:before="100" w:beforeAutospacing="1" w:after="100" w:afterAutospacing="1"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084"/>
    <w:pPr>
      <w:ind w:left="720"/>
      <w:contextualSpacing/>
    </w:pPr>
  </w:style>
  <w:style w:type="table" w:styleId="TableGrid">
    <w:name w:val="Table Grid"/>
    <w:basedOn w:val="TableNormal"/>
    <w:uiPriority w:val="59"/>
    <w:rsid w:val="00BE6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80A8E"/>
    <w:pPr>
      <w:pageBreakBefore/>
      <w:spacing w:before="100" w:beforeAutospacing="1" w:after="100" w:afterAutospacing="1" w:line="240" w:lineRule="auto"/>
    </w:pPr>
    <w:rPr>
      <w:rFonts w:ascii="Tahoma" w:eastAsia="Times New Roman" w:hAnsi="Tahoma" w:cs="Tahoma"/>
      <w:sz w:val="20"/>
      <w:szCs w:val="20"/>
    </w:rPr>
  </w:style>
  <w:style w:type="paragraph" w:customStyle="1" w:styleId="Char0">
    <w:name w:val="Char"/>
    <w:basedOn w:val="Normal"/>
    <w:rsid w:val="00B064A0"/>
    <w:pPr>
      <w:pageBreakBefore/>
      <w:spacing w:before="100" w:beforeAutospacing="1" w:after="100" w:afterAutospacing="1" w:line="240" w:lineRule="auto"/>
    </w:pPr>
    <w:rPr>
      <w:rFonts w:ascii="Tahoma" w:eastAsia="Times New Roman" w:hAnsi="Tahoma" w:cs="Tahoma"/>
      <w:sz w:val="20"/>
      <w:szCs w:val="20"/>
    </w:rPr>
  </w:style>
  <w:style w:type="paragraph" w:customStyle="1" w:styleId="Char1">
    <w:name w:val="Char"/>
    <w:basedOn w:val="Normal"/>
    <w:rsid w:val="00432AD0"/>
    <w:pPr>
      <w:pageBreakBefore/>
      <w:spacing w:before="100" w:beforeAutospacing="1" w:after="100" w:afterAutospacing="1"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B3B0-1A22-4963-A73D-B8912969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3</cp:revision>
  <dcterms:created xsi:type="dcterms:W3CDTF">2018-05-24T02:11:00Z</dcterms:created>
  <dcterms:modified xsi:type="dcterms:W3CDTF">2018-05-24T02:20:00Z</dcterms:modified>
</cp:coreProperties>
</file>