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502C6C">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14:anchorId="5A80B100" wp14:editId="1613245F">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502C6C">
              <w:rPr>
                <w:sz w:val="26"/>
                <w:szCs w:val="26"/>
              </w:rPr>
              <w:t>1161</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502C6C">
            <w:pPr>
              <w:pStyle w:val="Heading5"/>
              <w:spacing w:before="120"/>
              <w:rPr>
                <w:sz w:val="24"/>
                <w:szCs w:val="24"/>
                <w:lang w:val="en-US"/>
              </w:rPr>
            </w:pPr>
            <w:r w:rsidRPr="00997E99">
              <w:rPr>
                <w:sz w:val="24"/>
                <w:szCs w:val="24"/>
                <w:lang w:val="en-US"/>
              </w:rPr>
              <w:t xml:space="preserve">V/v </w:t>
            </w:r>
            <w:r w:rsidR="00387015">
              <w:rPr>
                <w:sz w:val="24"/>
                <w:szCs w:val="24"/>
                <w:lang w:val="en-US"/>
              </w:rPr>
              <w:t xml:space="preserve">Quản lý chi phí đầu tư </w:t>
            </w:r>
            <w:r w:rsidR="000F62B0">
              <w:rPr>
                <w:sz w:val="24"/>
                <w:szCs w:val="24"/>
                <w:lang w:val="en-US"/>
              </w:rPr>
              <w:t>xây dựng</w:t>
            </w:r>
            <w:r w:rsidR="004F6170">
              <w:rPr>
                <w:sz w:val="24"/>
                <w:szCs w:val="24"/>
                <w:lang w:val="en-US"/>
              </w:rPr>
              <w:t xml:space="preserve"> </w:t>
            </w:r>
            <w:r w:rsidR="00EA1DFF">
              <w:rPr>
                <w:sz w:val="24"/>
                <w:szCs w:val="24"/>
                <w:lang w:val="en-US"/>
              </w:rPr>
              <w:t>gói thầu CP-1A thuộc Dự án phát triển cơ sở hạ tầng Khu công nghệ cao Hòa Lạc</w:t>
            </w:r>
            <w:r w:rsidRPr="00997E99">
              <w:rPr>
                <w:sz w:val="24"/>
                <w:szCs w:val="24"/>
                <w:lang w:val="en-US"/>
              </w:rPr>
              <w:t>.</w:t>
            </w:r>
          </w:p>
        </w:tc>
        <w:tc>
          <w:tcPr>
            <w:tcW w:w="5753" w:type="dxa"/>
            <w:tcBorders>
              <w:top w:val="nil"/>
              <w:left w:val="nil"/>
              <w:bottom w:val="nil"/>
              <w:right w:val="nil"/>
            </w:tcBorders>
          </w:tcPr>
          <w:p w:rsidR="001945B5" w:rsidRPr="00997E99" w:rsidRDefault="00950C31" w:rsidP="00502C6C">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14:anchorId="7766FC0B" wp14:editId="44E0204A">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502C6C">
              <w:rPr>
                <w:i/>
                <w:iCs/>
                <w:sz w:val="26"/>
                <w:szCs w:val="26"/>
              </w:rPr>
              <w:t>21</w:t>
            </w:r>
            <w:r w:rsidR="001945B5" w:rsidRPr="00997E99">
              <w:rPr>
                <w:i/>
                <w:iCs/>
                <w:sz w:val="26"/>
                <w:szCs w:val="26"/>
              </w:rPr>
              <w:t xml:space="preserve"> tháng</w:t>
            </w:r>
            <w:r w:rsidR="0041323A" w:rsidRPr="00997E99">
              <w:rPr>
                <w:i/>
                <w:iCs/>
                <w:sz w:val="26"/>
                <w:szCs w:val="26"/>
              </w:rPr>
              <w:t xml:space="preserve"> </w:t>
            </w:r>
            <w:r w:rsidR="00502C6C">
              <w:rPr>
                <w:i/>
                <w:iCs/>
                <w:sz w:val="26"/>
                <w:szCs w:val="26"/>
              </w:rPr>
              <w:t>5</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rsidP="00502C6C">
            <w:pPr>
              <w:spacing w:before="120"/>
              <w:jc w:val="right"/>
            </w:pPr>
            <w:r w:rsidRPr="004900C1">
              <w:t>Kính gửi:</w:t>
            </w:r>
          </w:p>
        </w:tc>
        <w:tc>
          <w:tcPr>
            <w:tcW w:w="6840" w:type="dxa"/>
            <w:tcBorders>
              <w:top w:val="nil"/>
              <w:left w:val="nil"/>
              <w:bottom w:val="nil"/>
              <w:right w:val="nil"/>
            </w:tcBorders>
          </w:tcPr>
          <w:p w:rsidR="004900C1" w:rsidRPr="002F49B9" w:rsidRDefault="004F6170" w:rsidP="00502C6C">
            <w:pPr>
              <w:pStyle w:val="Header"/>
              <w:tabs>
                <w:tab w:val="clear" w:pos="4320"/>
                <w:tab w:val="clear" w:pos="8640"/>
              </w:tabs>
              <w:spacing w:before="120"/>
            </w:pPr>
            <w:r>
              <w:t>Ban QLDA phát triển cơ sở hạ tầng Khu CNC Hòa Lạc</w:t>
            </w:r>
          </w:p>
        </w:tc>
      </w:tr>
    </w:tbl>
    <w:p w:rsidR="00A447A5" w:rsidRPr="004C3C05" w:rsidRDefault="008A6A8A" w:rsidP="00502C6C">
      <w:pPr>
        <w:tabs>
          <w:tab w:val="left" w:pos="540"/>
        </w:tabs>
        <w:spacing w:before="120"/>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9C09B6">
        <w:t>347</w:t>
      </w:r>
      <w:r w:rsidR="00A447A5" w:rsidRPr="002F49B9">
        <w:t>/</w:t>
      </w:r>
      <w:r w:rsidR="004F6170">
        <w:t>BQLDA</w:t>
      </w:r>
      <w:r w:rsidR="004B1552">
        <w:t>-</w:t>
      </w:r>
      <w:r w:rsidR="004F6170">
        <w:t>KT</w:t>
      </w:r>
      <w:r w:rsidR="00A447A5" w:rsidRPr="002F49B9">
        <w:t xml:space="preserve"> ngày</w:t>
      </w:r>
      <w:r w:rsidR="00DA3400" w:rsidRPr="002F49B9">
        <w:t xml:space="preserve"> </w:t>
      </w:r>
      <w:r w:rsidR="004F6170">
        <w:t>0</w:t>
      </w:r>
      <w:r w:rsidR="00DE6DE2">
        <w:t>4</w:t>
      </w:r>
      <w:r w:rsidR="00A809A7" w:rsidRPr="002F49B9">
        <w:t>/</w:t>
      </w:r>
      <w:r w:rsidR="00DE6DE2">
        <w:t>4</w:t>
      </w:r>
      <w:r w:rsidR="00A447A5" w:rsidRPr="002F49B9">
        <w:t>/20</w:t>
      </w:r>
      <w:r w:rsidR="00792AAA" w:rsidRPr="002F49B9">
        <w:t>1</w:t>
      </w:r>
      <w:r w:rsidR="004F6170">
        <w:t>8</w:t>
      </w:r>
      <w:r w:rsidR="00A447A5" w:rsidRPr="002F49B9">
        <w:t xml:space="preserve"> </w:t>
      </w:r>
      <w:r w:rsidR="004C3C05">
        <w:t xml:space="preserve">của </w:t>
      </w:r>
      <w:r w:rsidR="004F6170">
        <w:t>Ban quản lý dự án phát triển cơ sở hạ tầng Khu công nghệ cao Hòa Lạc</w:t>
      </w:r>
      <w:r w:rsidR="007337AB">
        <w:t xml:space="preserve"> đề nghị hướng dẫn</w:t>
      </w:r>
      <w:r w:rsidR="00A717FC">
        <w:t xml:space="preserve"> </w:t>
      </w:r>
      <w:r w:rsidR="00E13856">
        <w:t>thanh toán</w:t>
      </w:r>
      <w:r w:rsidR="000F62B0">
        <w:t xml:space="preserve"> </w:t>
      </w:r>
      <w:r w:rsidR="00FD1CF4">
        <w:t xml:space="preserve">hợp đồng </w:t>
      </w:r>
      <w:r w:rsidR="000F62B0">
        <w:t>xây dựng</w:t>
      </w:r>
      <w:r w:rsidR="007337AB" w:rsidRPr="007337AB">
        <w:t xml:space="preserve"> </w:t>
      </w:r>
      <w:r w:rsidR="00DE6DE2">
        <w:t>gói thầu CP-1A thuộc</w:t>
      </w:r>
      <w:r w:rsidR="007337AB">
        <w:t xml:space="preserve"> Dự án phát triển cơ sở hạ tầng Khu công nghệ cao Hòa Lạc</w:t>
      </w:r>
      <w:r w:rsidR="00F472E4" w:rsidRPr="002F49B9">
        <w:t xml:space="preserve">. </w:t>
      </w:r>
      <w:r w:rsidRPr="004C3C05">
        <w:t xml:space="preserve">Sau khi xem xét, </w:t>
      </w:r>
      <w:r w:rsidR="00A447A5" w:rsidRPr="004C3C05">
        <w:t>Bộ Xây dựng có ý kiến như sau:</w:t>
      </w:r>
    </w:p>
    <w:p w:rsidR="000E69DB" w:rsidRDefault="00D3757E" w:rsidP="00502C6C">
      <w:pPr>
        <w:numPr>
          <w:ilvl w:val="0"/>
          <w:numId w:val="17"/>
        </w:numPr>
        <w:tabs>
          <w:tab w:val="left" w:pos="1080"/>
        </w:tabs>
        <w:spacing w:before="120"/>
        <w:ind w:left="0" w:firstLine="720"/>
        <w:jc w:val="both"/>
      </w:pPr>
      <w:r>
        <w:t xml:space="preserve">Việc thanh toán, quyết toán </w:t>
      </w:r>
      <w:r w:rsidR="00C81F3C">
        <w:t xml:space="preserve">và điều chỉnh </w:t>
      </w:r>
      <w:r>
        <w:t xml:space="preserve">hợp đồng xây dựng thực hiện theo nội dung hợp đồng đã ký kết giữa các bên và phù hợp với </w:t>
      </w:r>
      <w:r w:rsidR="00EB7DF8">
        <w:t xml:space="preserve">hồ sơ mời thầu, hồ sơ dự thầu và </w:t>
      </w:r>
      <w:r>
        <w:t>quy định của pháp luật áp dụng cho hợp đồng</w:t>
      </w:r>
      <w:r w:rsidR="000F62B0">
        <w:t xml:space="preserve"> đó</w:t>
      </w:r>
      <w:r>
        <w:t xml:space="preserve">. </w:t>
      </w:r>
    </w:p>
    <w:p w:rsidR="00CC2ADF" w:rsidRDefault="00CC2ADF" w:rsidP="00502C6C">
      <w:pPr>
        <w:numPr>
          <w:ilvl w:val="0"/>
          <w:numId w:val="17"/>
        </w:numPr>
        <w:tabs>
          <w:tab w:val="left" w:pos="1080"/>
        </w:tabs>
        <w:spacing w:before="120"/>
        <w:ind w:left="0" w:firstLine="720"/>
        <w:jc w:val="both"/>
      </w:pPr>
      <w:r>
        <w:t>Theo quy định của pháp luật về hợp đồng xây dựng, khi điều chỉnh giá hợp đồng xây dựng không làm vượt giá gói thầu hoặc dự toán gói thầu được phê duyệt thì chủ đầu tư được quyền quyết định điều chỉnh</w:t>
      </w:r>
      <w:r w:rsidR="000074B0">
        <w:t>;</w:t>
      </w:r>
      <w:r>
        <w:t xml:space="preserve"> </w:t>
      </w:r>
      <w:r w:rsidR="000074B0" w:rsidRPr="000074B0">
        <w:t>trường hợp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CC49EF" w:rsidRDefault="0018442D" w:rsidP="00502C6C">
      <w:pPr>
        <w:numPr>
          <w:ilvl w:val="0"/>
          <w:numId w:val="17"/>
        </w:numPr>
        <w:tabs>
          <w:tab w:val="left" w:pos="1080"/>
        </w:tabs>
        <w:spacing w:before="120"/>
        <w:ind w:left="0" w:firstLine="720"/>
        <w:jc w:val="both"/>
      </w:pPr>
      <w:r>
        <w:t>Theo nội dung văn bản số 347</w:t>
      </w:r>
      <w:r w:rsidRPr="002F49B9">
        <w:t>/</w:t>
      </w:r>
      <w:r>
        <w:t>BQLDA-KT</w:t>
      </w:r>
      <w:r w:rsidR="003F4BF7">
        <w:t xml:space="preserve">, </w:t>
      </w:r>
      <w:r w:rsidR="003A0659">
        <w:t xml:space="preserve">khi điều chỉnh thiết kế có một số công tác </w:t>
      </w:r>
      <w:r w:rsidR="002C5D7A">
        <w:t xml:space="preserve">đã </w:t>
      </w:r>
      <w:r w:rsidR="003A0659">
        <w:t>có đơn giá trong hợp đồng; một số công tác không có trong hợp đồng; việc điều chỉnh thiết kế</w:t>
      </w:r>
      <w:r w:rsidR="008A2A23">
        <w:t xml:space="preserve"> không làm tăng giá hợp đồng đã ký. Do đó, việc</w:t>
      </w:r>
      <w:r w:rsidR="00C96D37">
        <w:t xml:space="preserve"> quản lý chi phí đầu tư xây dựng công trình</w:t>
      </w:r>
      <w:r w:rsidR="00996F57">
        <w:t xml:space="preserve"> như </w:t>
      </w:r>
      <w:r w:rsidR="00C96D37">
        <w:t>Ban quản lý dự án phát triển cơ sở hạ tầng Khu công nghệ cao Hòa Lạc nêu tại văn bản số 347</w:t>
      </w:r>
      <w:r w:rsidR="00C96D37" w:rsidRPr="002F49B9">
        <w:t>/</w:t>
      </w:r>
      <w:r w:rsidR="00C96D37">
        <w:t xml:space="preserve">BQLDA-KT </w:t>
      </w:r>
      <w:r w:rsidR="00996F57">
        <w:t>là phù hợp.</w:t>
      </w:r>
      <w:r w:rsidR="001F60E6">
        <w:t xml:space="preserve"> </w:t>
      </w:r>
    </w:p>
    <w:p w:rsidR="00C96D37" w:rsidRDefault="001F60E6" w:rsidP="00502C6C">
      <w:pPr>
        <w:tabs>
          <w:tab w:val="left" w:pos="540"/>
        </w:tabs>
        <w:spacing w:before="120"/>
        <w:ind w:firstLine="720"/>
        <w:jc w:val="both"/>
      </w:pPr>
      <w:r>
        <w:t xml:space="preserve">Bộ Xây dựng lưu ý: </w:t>
      </w:r>
      <w:r w:rsidR="00B54011">
        <w:t xml:space="preserve">việc điều chỉnh dự toán gói thầu không làm vượt dự toán xây dựng công trình được cấp có thẩm quyền phê duyệt thì chủ đầu tư quyết định; trường hợp vượt dự toán xây dựng công trình được duyệt thì chủ đầu tư phải báo cáo cấp </w:t>
      </w:r>
      <w:r w:rsidR="006D23E2">
        <w:t xml:space="preserve">có thẩm quyền phê duyệt dự toán xây dựng </w:t>
      </w:r>
      <w:r w:rsidR="00B54011">
        <w:t xml:space="preserve">xem xét quyết định. </w:t>
      </w:r>
    </w:p>
    <w:p w:rsidR="00A447A5" w:rsidRPr="004C3C05" w:rsidRDefault="00F97419" w:rsidP="00502C6C">
      <w:pPr>
        <w:tabs>
          <w:tab w:val="left" w:pos="540"/>
        </w:tabs>
        <w:spacing w:before="120"/>
        <w:ind w:firstLine="720"/>
        <w:jc w:val="both"/>
      </w:pPr>
      <w:r>
        <w:t>Ban quản lý dự án phát triển cơ sở hạ tầng Khu công nghệ cao Hòa Lạc</w:t>
      </w:r>
      <w:r w:rsidR="00F5246D">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rsidP="00502C6C">
            <w:pPr>
              <w:rPr>
                <w:b/>
                <w:bCs/>
                <w:i/>
                <w:iCs/>
                <w:sz w:val="22"/>
                <w:szCs w:val="22"/>
              </w:rPr>
            </w:pPr>
          </w:p>
          <w:p w:rsidR="004900C1" w:rsidRPr="00F70033" w:rsidRDefault="004900C1" w:rsidP="00502C6C">
            <w:pPr>
              <w:rPr>
                <w:b/>
                <w:bCs/>
                <w:i/>
                <w:iCs/>
                <w:sz w:val="24"/>
                <w:szCs w:val="24"/>
              </w:rPr>
            </w:pPr>
            <w:r w:rsidRPr="00F70033">
              <w:rPr>
                <w:b/>
                <w:bCs/>
                <w:i/>
                <w:iCs/>
                <w:sz w:val="24"/>
                <w:szCs w:val="24"/>
              </w:rPr>
              <w:t>Nơi nhận:</w:t>
            </w:r>
          </w:p>
          <w:p w:rsidR="004900C1" w:rsidRPr="00F70033" w:rsidRDefault="004900C1" w:rsidP="00502C6C">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502C6C">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502C6C">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502C6C">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502C6C">
            <w:pPr>
              <w:ind w:right="-1"/>
              <w:jc w:val="center"/>
              <w:rPr>
                <w:i/>
                <w:iCs/>
                <w:lang w:val="fr-FR"/>
              </w:rPr>
            </w:pPr>
          </w:p>
          <w:p w:rsidR="00502C6C" w:rsidRPr="006B7A2E" w:rsidRDefault="00502C6C" w:rsidP="00E95EB6">
            <w:pPr>
              <w:spacing w:before="180" w:after="180"/>
              <w:jc w:val="center"/>
            </w:pPr>
            <w:bookmarkStart w:id="0" w:name="_GoBack"/>
            <w:r w:rsidRPr="006B7A2E">
              <w:t>(đã ký)</w:t>
            </w:r>
          </w:p>
          <w:bookmarkEnd w:id="0"/>
          <w:p w:rsidR="00DA6AAA" w:rsidRPr="00947FDB" w:rsidRDefault="00502C6C" w:rsidP="00502C6C">
            <w:pPr>
              <w:ind w:right="-1"/>
              <w:jc w:val="center"/>
              <w:rPr>
                <w:i/>
                <w:iCs/>
                <w:lang w:val="fr-FR"/>
              </w:rPr>
            </w:pPr>
            <w:r>
              <w:rPr>
                <w:i/>
                <w:iCs/>
                <w:lang w:val="fr-FR"/>
              </w:rPr>
              <w:t xml:space="preserve"> </w:t>
            </w:r>
          </w:p>
          <w:p w:rsidR="004900C1" w:rsidRPr="00D66C8F" w:rsidRDefault="00D12BC3" w:rsidP="00502C6C">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2C6C">
      <w:pPr>
        <w:spacing w:before="120"/>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F7" w:rsidRDefault="00FB64F7">
      <w:r>
        <w:separator/>
      </w:r>
    </w:p>
  </w:endnote>
  <w:endnote w:type="continuationSeparator" w:id="0">
    <w:p w:rsidR="00FB64F7" w:rsidRDefault="00FB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F7" w:rsidRDefault="00FB64F7">
      <w:r>
        <w:separator/>
      </w:r>
    </w:p>
  </w:footnote>
  <w:footnote w:type="continuationSeparator" w:id="0">
    <w:p w:rsidR="00FB64F7" w:rsidRDefault="00FB6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F6A19B6"/>
    <w:lvl w:ilvl="0" w:tplc="A804225A">
      <w:start w:val="1"/>
      <w:numFmt w:val="decimal"/>
      <w:lvlText w:val="%1."/>
      <w:lvlJc w:val="left"/>
      <w:pPr>
        <w:tabs>
          <w:tab w:val="num" w:pos="1080"/>
        </w:tabs>
        <w:ind w:left="1080" w:hanging="360"/>
      </w:pPr>
      <w:rPr>
        <w:rFonts w:cs="Times New Roman"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74B0"/>
    <w:rsid w:val="000100E3"/>
    <w:rsid w:val="00011113"/>
    <w:rsid w:val="00011BD8"/>
    <w:rsid w:val="000120B4"/>
    <w:rsid w:val="000208F5"/>
    <w:rsid w:val="0002162B"/>
    <w:rsid w:val="0002345F"/>
    <w:rsid w:val="0002555B"/>
    <w:rsid w:val="00030AC1"/>
    <w:rsid w:val="00040378"/>
    <w:rsid w:val="00045ACA"/>
    <w:rsid w:val="00047836"/>
    <w:rsid w:val="00050A70"/>
    <w:rsid w:val="0005685B"/>
    <w:rsid w:val="00056E33"/>
    <w:rsid w:val="00057C0D"/>
    <w:rsid w:val="00065DB3"/>
    <w:rsid w:val="00074341"/>
    <w:rsid w:val="00075AD8"/>
    <w:rsid w:val="000873EF"/>
    <w:rsid w:val="00087712"/>
    <w:rsid w:val="000922B6"/>
    <w:rsid w:val="00092957"/>
    <w:rsid w:val="00094EEE"/>
    <w:rsid w:val="000A473A"/>
    <w:rsid w:val="000A5F65"/>
    <w:rsid w:val="000B0F78"/>
    <w:rsid w:val="000B2E65"/>
    <w:rsid w:val="000B2E8F"/>
    <w:rsid w:val="000B7DEA"/>
    <w:rsid w:val="000C1DA2"/>
    <w:rsid w:val="000C1ED2"/>
    <w:rsid w:val="000E0328"/>
    <w:rsid w:val="000E22D9"/>
    <w:rsid w:val="000E2B6E"/>
    <w:rsid w:val="000E46FC"/>
    <w:rsid w:val="000E69DB"/>
    <w:rsid w:val="000E713E"/>
    <w:rsid w:val="000F1A1F"/>
    <w:rsid w:val="000F62B0"/>
    <w:rsid w:val="00104F52"/>
    <w:rsid w:val="001050A1"/>
    <w:rsid w:val="00106A2B"/>
    <w:rsid w:val="00110291"/>
    <w:rsid w:val="00127B5D"/>
    <w:rsid w:val="001343AE"/>
    <w:rsid w:val="0013486F"/>
    <w:rsid w:val="00137764"/>
    <w:rsid w:val="00137DA2"/>
    <w:rsid w:val="00140B40"/>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42D"/>
    <w:rsid w:val="00184DD0"/>
    <w:rsid w:val="0019070B"/>
    <w:rsid w:val="00192CAD"/>
    <w:rsid w:val="001945B5"/>
    <w:rsid w:val="00195628"/>
    <w:rsid w:val="001A4D55"/>
    <w:rsid w:val="001C2D6D"/>
    <w:rsid w:val="001D3434"/>
    <w:rsid w:val="001D46C4"/>
    <w:rsid w:val="001E0F5D"/>
    <w:rsid w:val="001E5356"/>
    <w:rsid w:val="001E6256"/>
    <w:rsid w:val="001F60E6"/>
    <w:rsid w:val="00201876"/>
    <w:rsid w:val="00206F69"/>
    <w:rsid w:val="00207920"/>
    <w:rsid w:val="0021340A"/>
    <w:rsid w:val="0022373C"/>
    <w:rsid w:val="00225227"/>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A66CF"/>
    <w:rsid w:val="002C5B60"/>
    <w:rsid w:val="002C5D7A"/>
    <w:rsid w:val="002D042F"/>
    <w:rsid w:val="002D6D5B"/>
    <w:rsid w:val="002D6DA7"/>
    <w:rsid w:val="002E1DE1"/>
    <w:rsid w:val="002F1903"/>
    <w:rsid w:val="002F49B9"/>
    <w:rsid w:val="00300E8A"/>
    <w:rsid w:val="0030343A"/>
    <w:rsid w:val="00303AF3"/>
    <w:rsid w:val="003136BD"/>
    <w:rsid w:val="00316827"/>
    <w:rsid w:val="00317136"/>
    <w:rsid w:val="00330602"/>
    <w:rsid w:val="00334992"/>
    <w:rsid w:val="00334EE4"/>
    <w:rsid w:val="003360BF"/>
    <w:rsid w:val="00347203"/>
    <w:rsid w:val="00360467"/>
    <w:rsid w:val="00361356"/>
    <w:rsid w:val="00361637"/>
    <w:rsid w:val="00366980"/>
    <w:rsid w:val="00386D2D"/>
    <w:rsid w:val="00387015"/>
    <w:rsid w:val="00387A04"/>
    <w:rsid w:val="00393446"/>
    <w:rsid w:val="003A0659"/>
    <w:rsid w:val="003A210E"/>
    <w:rsid w:val="003A2F1F"/>
    <w:rsid w:val="003B0FD2"/>
    <w:rsid w:val="003B7469"/>
    <w:rsid w:val="003C3975"/>
    <w:rsid w:val="003D0EEC"/>
    <w:rsid w:val="003D2DB6"/>
    <w:rsid w:val="003D53B7"/>
    <w:rsid w:val="003E214D"/>
    <w:rsid w:val="003E2EC4"/>
    <w:rsid w:val="003E45BC"/>
    <w:rsid w:val="003F2134"/>
    <w:rsid w:val="003F4BF7"/>
    <w:rsid w:val="003F5D81"/>
    <w:rsid w:val="003F66FF"/>
    <w:rsid w:val="0040369E"/>
    <w:rsid w:val="0040535A"/>
    <w:rsid w:val="0041323A"/>
    <w:rsid w:val="0042092C"/>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3C50"/>
    <w:rsid w:val="00497B2F"/>
    <w:rsid w:val="004A5DAC"/>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4F6170"/>
    <w:rsid w:val="00502C6C"/>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5188C"/>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405"/>
    <w:rsid w:val="0065272F"/>
    <w:rsid w:val="006530C8"/>
    <w:rsid w:val="00655A76"/>
    <w:rsid w:val="00657B23"/>
    <w:rsid w:val="006646C1"/>
    <w:rsid w:val="0068091B"/>
    <w:rsid w:val="00683099"/>
    <w:rsid w:val="00687ADD"/>
    <w:rsid w:val="0069056C"/>
    <w:rsid w:val="00697C1A"/>
    <w:rsid w:val="006A5D4C"/>
    <w:rsid w:val="006B2752"/>
    <w:rsid w:val="006B64C7"/>
    <w:rsid w:val="006C3795"/>
    <w:rsid w:val="006C3D2A"/>
    <w:rsid w:val="006D2277"/>
    <w:rsid w:val="006D23E2"/>
    <w:rsid w:val="006D51A9"/>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358E"/>
    <w:rsid w:val="00754C1A"/>
    <w:rsid w:val="00755910"/>
    <w:rsid w:val="00757B88"/>
    <w:rsid w:val="00761D4A"/>
    <w:rsid w:val="00765847"/>
    <w:rsid w:val="00774889"/>
    <w:rsid w:val="00774FC4"/>
    <w:rsid w:val="00776597"/>
    <w:rsid w:val="00790C22"/>
    <w:rsid w:val="00791D6C"/>
    <w:rsid w:val="00792AAA"/>
    <w:rsid w:val="007950C5"/>
    <w:rsid w:val="00796512"/>
    <w:rsid w:val="007A1A7D"/>
    <w:rsid w:val="007A719E"/>
    <w:rsid w:val="007B2C65"/>
    <w:rsid w:val="007F1DCC"/>
    <w:rsid w:val="007F2D6C"/>
    <w:rsid w:val="007F6197"/>
    <w:rsid w:val="007F7B48"/>
    <w:rsid w:val="00801115"/>
    <w:rsid w:val="0080219C"/>
    <w:rsid w:val="00805574"/>
    <w:rsid w:val="00811934"/>
    <w:rsid w:val="00816C18"/>
    <w:rsid w:val="0082279A"/>
    <w:rsid w:val="00825D0B"/>
    <w:rsid w:val="00825D81"/>
    <w:rsid w:val="00826246"/>
    <w:rsid w:val="00830C27"/>
    <w:rsid w:val="00841599"/>
    <w:rsid w:val="00844BA2"/>
    <w:rsid w:val="00844F35"/>
    <w:rsid w:val="008463BA"/>
    <w:rsid w:val="00870839"/>
    <w:rsid w:val="00871ECD"/>
    <w:rsid w:val="008801A1"/>
    <w:rsid w:val="008821FD"/>
    <w:rsid w:val="0088410C"/>
    <w:rsid w:val="008854B6"/>
    <w:rsid w:val="008861A9"/>
    <w:rsid w:val="008872D0"/>
    <w:rsid w:val="008922D1"/>
    <w:rsid w:val="00893581"/>
    <w:rsid w:val="008A0DF7"/>
    <w:rsid w:val="008A2A23"/>
    <w:rsid w:val="008A6A8A"/>
    <w:rsid w:val="008B0FE8"/>
    <w:rsid w:val="008B5B8B"/>
    <w:rsid w:val="008B7023"/>
    <w:rsid w:val="008B7804"/>
    <w:rsid w:val="008C069D"/>
    <w:rsid w:val="008C2C2C"/>
    <w:rsid w:val="008C3AD5"/>
    <w:rsid w:val="008C3CBB"/>
    <w:rsid w:val="008C572F"/>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57"/>
    <w:rsid w:val="00996FF6"/>
    <w:rsid w:val="00997E99"/>
    <w:rsid w:val="009A237C"/>
    <w:rsid w:val="009A242D"/>
    <w:rsid w:val="009B0202"/>
    <w:rsid w:val="009B2BE6"/>
    <w:rsid w:val="009B4837"/>
    <w:rsid w:val="009B5B06"/>
    <w:rsid w:val="009C036C"/>
    <w:rsid w:val="009C09B6"/>
    <w:rsid w:val="009C3951"/>
    <w:rsid w:val="009C4CBB"/>
    <w:rsid w:val="009D2188"/>
    <w:rsid w:val="009D2225"/>
    <w:rsid w:val="009D4CFA"/>
    <w:rsid w:val="009D54A5"/>
    <w:rsid w:val="009E6A2F"/>
    <w:rsid w:val="009E6E19"/>
    <w:rsid w:val="009F13F5"/>
    <w:rsid w:val="00A00F10"/>
    <w:rsid w:val="00A02B78"/>
    <w:rsid w:val="00A0359D"/>
    <w:rsid w:val="00A03F8A"/>
    <w:rsid w:val="00A07965"/>
    <w:rsid w:val="00A07DF5"/>
    <w:rsid w:val="00A107EA"/>
    <w:rsid w:val="00A13CE7"/>
    <w:rsid w:val="00A14ADA"/>
    <w:rsid w:val="00A16F08"/>
    <w:rsid w:val="00A35541"/>
    <w:rsid w:val="00A42C84"/>
    <w:rsid w:val="00A43317"/>
    <w:rsid w:val="00A447A5"/>
    <w:rsid w:val="00A525C8"/>
    <w:rsid w:val="00A62951"/>
    <w:rsid w:val="00A717FC"/>
    <w:rsid w:val="00A749D6"/>
    <w:rsid w:val="00A77CC7"/>
    <w:rsid w:val="00A809A7"/>
    <w:rsid w:val="00A877B2"/>
    <w:rsid w:val="00A90556"/>
    <w:rsid w:val="00A96B5A"/>
    <w:rsid w:val="00A97740"/>
    <w:rsid w:val="00AA4307"/>
    <w:rsid w:val="00AA6712"/>
    <w:rsid w:val="00AB2DAD"/>
    <w:rsid w:val="00AC2FE3"/>
    <w:rsid w:val="00AC4174"/>
    <w:rsid w:val="00AC5549"/>
    <w:rsid w:val="00AD24E9"/>
    <w:rsid w:val="00AD2576"/>
    <w:rsid w:val="00AE2AE0"/>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53D1A"/>
    <w:rsid w:val="00B54011"/>
    <w:rsid w:val="00B55CDD"/>
    <w:rsid w:val="00B66ABD"/>
    <w:rsid w:val="00B7112F"/>
    <w:rsid w:val="00B755D1"/>
    <w:rsid w:val="00B81887"/>
    <w:rsid w:val="00B847D9"/>
    <w:rsid w:val="00B9778F"/>
    <w:rsid w:val="00BA1C0F"/>
    <w:rsid w:val="00BA2189"/>
    <w:rsid w:val="00BA5260"/>
    <w:rsid w:val="00BB5EAD"/>
    <w:rsid w:val="00BC56C3"/>
    <w:rsid w:val="00BC5989"/>
    <w:rsid w:val="00BC780F"/>
    <w:rsid w:val="00BD05CA"/>
    <w:rsid w:val="00BD0845"/>
    <w:rsid w:val="00BD2173"/>
    <w:rsid w:val="00BD3CCE"/>
    <w:rsid w:val="00BD5377"/>
    <w:rsid w:val="00BD7505"/>
    <w:rsid w:val="00BD7646"/>
    <w:rsid w:val="00BE0FC1"/>
    <w:rsid w:val="00BE4E78"/>
    <w:rsid w:val="00BF0080"/>
    <w:rsid w:val="00BF1915"/>
    <w:rsid w:val="00BF67A2"/>
    <w:rsid w:val="00C30903"/>
    <w:rsid w:val="00C34959"/>
    <w:rsid w:val="00C36346"/>
    <w:rsid w:val="00C36C3F"/>
    <w:rsid w:val="00C37724"/>
    <w:rsid w:val="00C55312"/>
    <w:rsid w:val="00C57DFC"/>
    <w:rsid w:val="00C60733"/>
    <w:rsid w:val="00C61B97"/>
    <w:rsid w:val="00C74109"/>
    <w:rsid w:val="00C76723"/>
    <w:rsid w:val="00C81F3C"/>
    <w:rsid w:val="00C82EE6"/>
    <w:rsid w:val="00C844BE"/>
    <w:rsid w:val="00C86645"/>
    <w:rsid w:val="00C9006D"/>
    <w:rsid w:val="00C96D37"/>
    <w:rsid w:val="00CA0D94"/>
    <w:rsid w:val="00CA17BC"/>
    <w:rsid w:val="00CA52C8"/>
    <w:rsid w:val="00CB352E"/>
    <w:rsid w:val="00CC2612"/>
    <w:rsid w:val="00CC2ADF"/>
    <w:rsid w:val="00CC3C47"/>
    <w:rsid w:val="00CC49EF"/>
    <w:rsid w:val="00CC72B0"/>
    <w:rsid w:val="00CD2BE6"/>
    <w:rsid w:val="00CD6504"/>
    <w:rsid w:val="00CD66BF"/>
    <w:rsid w:val="00CD7379"/>
    <w:rsid w:val="00CE19E8"/>
    <w:rsid w:val="00CE6E0E"/>
    <w:rsid w:val="00CF01A1"/>
    <w:rsid w:val="00CF2341"/>
    <w:rsid w:val="00CF3A32"/>
    <w:rsid w:val="00D00679"/>
    <w:rsid w:val="00D0067D"/>
    <w:rsid w:val="00D00E37"/>
    <w:rsid w:val="00D02530"/>
    <w:rsid w:val="00D043AF"/>
    <w:rsid w:val="00D04B8A"/>
    <w:rsid w:val="00D12BC3"/>
    <w:rsid w:val="00D12EA4"/>
    <w:rsid w:val="00D226B3"/>
    <w:rsid w:val="00D237A5"/>
    <w:rsid w:val="00D3673E"/>
    <w:rsid w:val="00D3757E"/>
    <w:rsid w:val="00D378AB"/>
    <w:rsid w:val="00D53205"/>
    <w:rsid w:val="00D5641E"/>
    <w:rsid w:val="00D645D2"/>
    <w:rsid w:val="00D66C8F"/>
    <w:rsid w:val="00D73BD1"/>
    <w:rsid w:val="00D77A85"/>
    <w:rsid w:val="00D809EA"/>
    <w:rsid w:val="00D8121C"/>
    <w:rsid w:val="00D81795"/>
    <w:rsid w:val="00D90BD7"/>
    <w:rsid w:val="00D910F6"/>
    <w:rsid w:val="00D93E54"/>
    <w:rsid w:val="00D95C33"/>
    <w:rsid w:val="00D95D43"/>
    <w:rsid w:val="00D95F2A"/>
    <w:rsid w:val="00D96E13"/>
    <w:rsid w:val="00DA12A4"/>
    <w:rsid w:val="00DA1EE3"/>
    <w:rsid w:val="00DA3400"/>
    <w:rsid w:val="00DA6AAA"/>
    <w:rsid w:val="00DB7066"/>
    <w:rsid w:val="00DC0EA0"/>
    <w:rsid w:val="00DD2E34"/>
    <w:rsid w:val="00DD34CB"/>
    <w:rsid w:val="00DD391B"/>
    <w:rsid w:val="00DE6236"/>
    <w:rsid w:val="00DE6DE2"/>
    <w:rsid w:val="00DE7AEE"/>
    <w:rsid w:val="00DF7B6E"/>
    <w:rsid w:val="00E03BD2"/>
    <w:rsid w:val="00E11A00"/>
    <w:rsid w:val="00E13856"/>
    <w:rsid w:val="00E25F88"/>
    <w:rsid w:val="00E27F1E"/>
    <w:rsid w:val="00E355B9"/>
    <w:rsid w:val="00E36260"/>
    <w:rsid w:val="00E503C9"/>
    <w:rsid w:val="00E533B9"/>
    <w:rsid w:val="00E5395B"/>
    <w:rsid w:val="00E6082E"/>
    <w:rsid w:val="00E65F11"/>
    <w:rsid w:val="00E67D44"/>
    <w:rsid w:val="00E8272E"/>
    <w:rsid w:val="00E844BE"/>
    <w:rsid w:val="00E8493D"/>
    <w:rsid w:val="00E86CC0"/>
    <w:rsid w:val="00E900B9"/>
    <w:rsid w:val="00E90AEF"/>
    <w:rsid w:val="00E95BDA"/>
    <w:rsid w:val="00E95EB6"/>
    <w:rsid w:val="00E967FD"/>
    <w:rsid w:val="00EA1407"/>
    <w:rsid w:val="00EA17D7"/>
    <w:rsid w:val="00EA1DFF"/>
    <w:rsid w:val="00EA7C01"/>
    <w:rsid w:val="00EB1FF4"/>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2B78"/>
    <w:rsid w:val="00F472E4"/>
    <w:rsid w:val="00F509FE"/>
    <w:rsid w:val="00F5246D"/>
    <w:rsid w:val="00F538CB"/>
    <w:rsid w:val="00F53D6D"/>
    <w:rsid w:val="00F56759"/>
    <w:rsid w:val="00F65556"/>
    <w:rsid w:val="00F70033"/>
    <w:rsid w:val="00F71AA6"/>
    <w:rsid w:val="00F864C3"/>
    <w:rsid w:val="00F93AE2"/>
    <w:rsid w:val="00F95E0C"/>
    <w:rsid w:val="00F97419"/>
    <w:rsid w:val="00F97FE9"/>
    <w:rsid w:val="00FA4743"/>
    <w:rsid w:val="00FA7874"/>
    <w:rsid w:val="00FB0017"/>
    <w:rsid w:val="00FB360B"/>
    <w:rsid w:val="00FB452B"/>
    <w:rsid w:val="00FB64F7"/>
    <w:rsid w:val="00FC5259"/>
    <w:rsid w:val="00FC78C3"/>
    <w:rsid w:val="00FC7982"/>
    <w:rsid w:val="00FD1CF4"/>
    <w:rsid w:val="00FE15BB"/>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551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55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2017-12-19T07:21:00Z</cp:lastPrinted>
  <dcterms:created xsi:type="dcterms:W3CDTF">2018-05-23T02:21:00Z</dcterms:created>
  <dcterms:modified xsi:type="dcterms:W3CDTF">2018-05-23T03:53:00Z</dcterms:modified>
</cp:coreProperties>
</file>