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3544"/>
        <w:gridCol w:w="280"/>
        <w:gridCol w:w="5532"/>
      </w:tblGrid>
      <w:tr w:rsidR="00467B6C" w:rsidRPr="005508AC" w:rsidTr="00182424">
        <w:trPr>
          <w:trHeight w:val="1560"/>
        </w:trPr>
        <w:tc>
          <w:tcPr>
            <w:tcW w:w="3544" w:type="dxa"/>
          </w:tcPr>
          <w:p w:rsidR="00467B6C" w:rsidRPr="005508AC" w:rsidRDefault="002D1709"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DOULFPGgIAADUEAAAOAAAAAAAAAAAAAAAAAC4CAABkcnMvZTJvRG9jLnhtbFBLAQItABQA&#10;BgAIAAAAIQAuXawE3QAAAAkBAAAPAAAAAAAAAAAAAAAAAHQEAABkcnMvZG93bnJldi54bWxQSwUG&#10;AAAAAAQABADzAAAAfgUAAAAA&#10;"/>
                  </w:pict>
                </mc:Fallback>
              </mc:AlternateContent>
            </w:r>
            <w:r w:rsidR="0026341B">
              <w:rPr>
                <w:rFonts w:ascii="Times New Roman" w:hAnsi="Times New Roman"/>
                <w:sz w:val="26"/>
              </w:rPr>
              <w:t>B</w:t>
            </w:r>
            <w:r w:rsidR="00467B6C" w:rsidRPr="005508AC">
              <w:rPr>
                <w:rFonts w:ascii="Times New Roman" w:hAnsi="Times New Roman"/>
                <w:sz w:val="26"/>
              </w:rPr>
              <w:t>Ộ XÂY DỰNG</w:t>
            </w:r>
          </w:p>
          <w:p w:rsidR="00467B6C" w:rsidRPr="00020052" w:rsidRDefault="00215C9A" w:rsidP="00215C9A">
            <w:pPr>
              <w:pStyle w:val="Heading1"/>
              <w:spacing w:before="180" w:after="0"/>
              <w:jc w:val="center"/>
              <w:rPr>
                <w:rFonts w:ascii="Times New Roman" w:hAnsi="Times New Roman"/>
                <w:b w:val="0"/>
                <w:sz w:val="28"/>
                <w:szCs w:val="28"/>
              </w:rPr>
            </w:pPr>
            <w:bookmarkStart w:id="0" w:name="_GoBack"/>
            <w:bookmarkEnd w:id="0"/>
            <w:r w:rsidRPr="00020052">
              <w:rPr>
                <w:rFonts w:ascii="Times New Roman" w:hAnsi="Times New Roman"/>
                <w:b w:val="0"/>
                <w:sz w:val="28"/>
                <w:szCs w:val="28"/>
              </w:rPr>
              <w:t>Số</w:t>
            </w:r>
            <w:r w:rsidR="00467B6C" w:rsidRPr="00020052">
              <w:rPr>
                <w:rFonts w:ascii="Times New Roman" w:hAnsi="Times New Roman"/>
                <w:b w:val="0"/>
                <w:sz w:val="28"/>
                <w:szCs w:val="28"/>
              </w:rPr>
              <w:t>:</w:t>
            </w:r>
            <w:r w:rsidR="00FF5852">
              <w:rPr>
                <w:rFonts w:ascii="Times New Roman" w:hAnsi="Times New Roman"/>
                <w:b w:val="0"/>
                <w:sz w:val="28"/>
                <w:szCs w:val="28"/>
              </w:rPr>
              <w:t xml:space="preserve"> 1022</w:t>
            </w:r>
            <w:r w:rsidR="00467B6C" w:rsidRPr="00020052">
              <w:rPr>
                <w:rFonts w:ascii="Times New Roman" w:hAnsi="Times New Roman"/>
                <w:b w:val="0"/>
                <w:sz w:val="28"/>
                <w:szCs w:val="28"/>
              </w:rPr>
              <w:t>/BXD-KTXD</w:t>
            </w:r>
          </w:p>
          <w:p w:rsidR="00182424" w:rsidRPr="0090429C" w:rsidRDefault="002B720C" w:rsidP="00042625">
            <w:pPr>
              <w:spacing w:before="40"/>
              <w:jc w:val="center"/>
              <w:rPr>
                <w:rFonts w:ascii="Times New Roman" w:hAnsi="Times New Roman"/>
                <w:sz w:val="24"/>
                <w:szCs w:val="24"/>
              </w:rPr>
            </w:pPr>
            <w:r>
              <w:rPr>
                <w:rFonts w:ascii="Times New Roman" w:hAnsi="Times New Roman"/>
                <w:sz w:val="24"/>
                <w:szCs w:val="24"/>
              </w:rPr>
              <w:t xml:space="preserve">V/v </w:t>
            </w:r>
            <w:r w:rsidR="00042625">
              <w:rPr>
                <w:rFonts w:ascii="Times New Roman" w:hAnsi="Times New Roman"/>
                <w:sz w:val="24"/>
                <w:szCs w:val="24"/>
              </w:rPr>
              <w:t>hao phí vật liệu trong công tác rải vải địa kỹ thuật</w:t>
            </w:r>
            <w:r w:rsidR="00182424">
              <w:rPr>
                <w:rFonts w:ascii="Times New Roman" w:hAnsi="Times New Roman"/>
                <w:sz w:val="24"/>
                <w:szCs w:val="24"/>
              </w:rPr>
              <w:t xml:space="preserve"> </w:t>
            </w:r>
          </w:p>
        </w:tc>
        <w:tc>
          <w:tcPr>
            <w:tcW w:w="280" w:type="dxa"/>
          </w:tcPr>
          <w:p w:rsidR="00467B6C" w:rsidRPr="00126A80" w:rsidRDefault="00467B6C" w:rsidP="00182424">
            <w:pPr>
              <w:ind w:left="34" w:hanging="34"/>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2D1709"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FF5852">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FF5852">
              <w:rPr>
                <w:rFonts w:ascii="Times New Roman" w:hAnsi="Times New Roman"/>
                <w:b w:val="0"/>
                <w:i/>
                <w:szCs w:val="28"/>
              </w:rPr>
              <w:t>08</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FF5852">
              <w:rPr>
                <w:rFonts w:ascii="Times New Roman" w:hAnsi="Times New Roman"/>
                <w:b w:val="0"/>
                <w:i/>
                <w:szCs w:val="28"/>
              </w:rPr>
              <w:t>5</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714BA5">
              <w:rPr>
                <w:rFonts w:ascii="Times New Roman" w:hAnsi="Times New Roman"/>
                <w:b w:val="0"/>
                <w:i/>
                <w:szCs w:val="28"/>
              </w:rPr>
              <w:t>8</w:t>
            </w:r>
          </w:p>
        </w:tc>
      </w:tr>
    </w:tbl>
    <w:p w:rsidR="00F84989" w:rsidRPr="00F84989" w:rsidRDefault="00F84989" w:rsidP="00FF5852">
      <w:pPr>
        <w:spacing w:before="480" w:after="240" w:line="288" w:lineRule="auto"/>
        <w:jc w:val="center"/>
        <w:rPr>
          <w:rFonts w:ascii="Times New Roman" w:hAnsi="Times New Roman"/>
          <w:spacing w:val="-4"/>
        </w:rPr>
      </w:pPr>
      <w:r>
        <w:rPr>
          <w:rFonts w:ascii="Times New Roman" w:hAnsi="Times New Roman"/>
          <w:spacing w:val="-4"/>
        </w:rPr>
        <w:t xml:space="preserve">Kính gửi: </w:t>
      </w:r>
      <w:r w:rsidR="00042625">
        <w:rPr>
          <w:rFonts w:ascii="Times New Roman" w:hAnsi="Times New Roman"/>
          <w:spacing w:val="-4"/>
        </w:rPr>
        <w:t>Công ty Cổ phẩn tư vấn đầu tư xây dựng công trình giao thông 1 – C</w:t>
      </w:r>
      <w:r w:rsidR="003A1957">
        <w:rPr>
          <w:rFonts w:ascii="Times New Roman" w:hAnsi="Times New Roman"/>
          <w:spacing w:val="-4"/>
        </w:rPr>
        <w:t>I</w:t>
      </w:r>
      <w:r w:rsidR="00042625">
        <w:rPr>
          <w:rFonts w:ascii="Times New Roman" w:hAnsi="Times New Roman"/>
          <w:spacing w:val="-4"/>
        </w:rPr>
        <w:t>ENCO1</w:t>
      </w:r>
    </w:p>
    <w:p w:rsidR="00FB376E" w:rsidRDefault="007C78ED" w:rsidP="003A1957">
      <w:pPr>
        <w:spacing w:after="120" w:line="360" w:lineRule="exact"/>
        <w:ind w:firstLine="851"/>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042625">
        <w:rPr>
          <w:rFonts w:ascii="Times New Roman" w:hAnsi="Times New Roman"/>
        </w:rPr>
        <w:t>ngày 29</w:t>
      </w:r>
      <w:r w:rsidR="00602349">
        <w:rPr>
          <w:rFonts w:ascii="Times New Roman" w:hAnsi="Times New Roman"/>
        </w:rPr>
        <w:t xml:space="preserve">/3/2018 của </w:t>
      </w:r>
      <w:r w:rsidR="00042625">
        <w:rPr>
          <w:rFonts w:ascii="Times New Roman" w:hAnsi="Times New Roman"/>
        </w:rPr>
        <w:t>Công ty Cổ phần tư vấn đầu tư xây dựng công trình giao thông 1 –</w:t>
      </w:r>
      <w:r w:rsidR="004A684D">
        <w:rPr>
          <w:rFonts w:ascii="Times New Roman" w:hAnsi="Times New Roman"/>
        </w:rPr>
        <w:t xml:space="preserve"> </w:t>
      </w:r>
      <w:r w:rsidR="00042625">
        <w:rPr>
          <w:rFonts w:ascii="Times New Roman" w:hAnsi="Times New Roman"/>
        </w:rPr>
        <w:t>C</w:t>
      </w:r>
      <w:r w:rsidR="003A1957">
        <w:rPr>
          <w:rFonts w:ascii="Times New Roman" w:hAnsi="Times New Roman"/>
        </w:rPr>
        <w:t>I</w:t>
      </w:r>
      <w:r w:rsidR="00042625">
        <w:rPr>
          <w:rFonts w:ascii="Times New Roman" w:hAnsi="Times New Roman"/>
        </w:rPr>
        <w:t xml:space="preserve">ENCO1 đề nghị hướng dẫn về hao phí vật liệu trong công tác rải vải địa kỹ thuật.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48180A" w:rsidRDefault="00222F6F" w:rsidP="00A66CF7">
      <w:pPr>
        <w:spacing w:before="120" w:after="120" w:line="360" w:lineRule="exact"/>
        <w:ind w:firstLine="851"/>
        <w:jc w:val="both"/>
        <w:rPr>
          <w:rFonts w:ascii="Times New Roman" w:hAnsi="Times New Roman"/>
        </w:rPr>
      </w:pPr>
      <w:r>
        <w:rPr>
          <w:rFonts w:ascii="Times New Roman" w:hAnsi="Times New Roman"/>
        </w:rPr>
        <w:t xml:space="preserve">Công tác gia cố nền đất yếu bằng vải địa kỹ thuật (mã hiệu AL.16122) đã được định mức tại tập </w:t>
      </w:r>
      <w:r w:rsidRPr="00C26A8F">
        <w:rPr>
          <w:rFonts w:ascii="Times New Roman" w:hAnsi="Times New Roman"/>
        </w:rPr>
        <w:t>Định mức dự toán xây dựng công trình – Phần Xây dựng</w:t>
      </w:r>
      <w:r>
        <w:rPr>
          <w:rFonts w:ascii="Times New Roman" w:hAnsi="Times New Roman"/>
        </w:rPr>
        <w:t xml:space="preserve"> kèm theo </w:t>
      </w:r>
      <w:r w:rsidRPr="00C26A8F">
        <w:rPr>
          <w:rFonts w:ascii="Times New Roman" w:hAnsi="Times New Roman"/>
        </w:rPr>
        <w:t>văn bản số 1776/BXD-VP</w:t>
      </w:r>
      <w:r>
        <w:rPr>
          <w:rFonts w:ascii="Times New Roman" w:hAnsi="Times New Roman"/>
        </w:rPr>
        <w:t xml:space="preserve"> ngày 16/8/2007 của Bộ Xây dựng. Trong quá trình lập dự toán xây dựng công trình, nếu có sự chưa phù hợp về hao phí vật liệu vải địa kỹ thuật trong việc áp dụng công tác này</w:t>
      </w:r>
      <w:r w:rsidR="00B816B5">
        <w:rPr>
          <w:rFonts w:ascii="Times New Roman" w:hAnsi="Times New Roman"/>
        </w:rPr>
        <w:t xml:space="preserve"> </w:t>
      </w:r>
      <w:r w:rsidR="00E035EE">
        <w:rPr>
          <w:rFonts w:ascii="Times New Roman" w:hAnsi="Times New Roman"/>
        </w:rPr>
        <w:t>như đã nêu tại văn bản ngày 29/3/2018 của Công ty Cổ phần tư vấn đầu tư xây dựng công trình giao thông 1 –</w:t>
      </w:r>
      <w:r w:rsidR="004A684D">
        <w:rPr>
          <w:rFonts w:ascii="Times New Roman" w:hAnsi="Times New Roman"/>
        </w:rPr>
        <w:t xml:space="preserve"> </w:t>
      </w:r>
      <w:r w:rsidR="00E035EE">
        <w:rPr>
          <w:rFonts w:ascii="Times New Roman" w:hAnsi="Times New Roman"/>
        </w:rPr>
        <w:t>C</w:t>
      </w:r>
      <w:r w:rsidR="004A684D">
        <w:rPr>
          <w:rFonts w:ascii="Times New Roman" w:hAnsi="Times New Roman"/>
        </w:rPr>
        <w:t>I</w:t>
      </w:r>
      <w:r w:rsidR="00E035EE">
        <w:rPr>
          <w:rFonts w:ascii="Times New Roman" w:hAnsi="Times New Roman"/>
        </w:rPr>
        <w:t>ENCO1</w:t>
      </w:r>
      <w:r w:rsidR="00ED7434">
        <w:rPr>
          <w:rFonts w:ascii="Times New Roman" w:hAnsi="Times New Roman"/>
        </w:rPr>
        <w:t xml:space="preserve">, thì </w:t>
      </w:r>
      <w:r w:rsidR="006E0916">
        <w:rPr>
          <w:rFonts w:ascii="Times New Roman" w:hAnsi="Times New Roman"/>
        </w:rPr>
        <w:t xml:space="preserve">yêu cầu </w:t>
      </w:r>
      <w:r w:rsidR="00ED7434">
        <w:rPr>
          <w:rFonts w:ascii="Times New Roman" w:hAnsi="Times New Roman"/>
        </w:rPr>
        <w:t>chủ đầu tư tổ chức xác định định mức dự toán xây dựng điều chỉnh làm cơ sở quản lý chi phí đầu tư xây dựng công trình</w:t>
      </w:r>
      <w:r w:rsidR="005A666B">
        <w:rPr>
          <w:rFonts w:ascii="Times New Roman" w:hAnsi="Times New Roman"/>
        </w:rPr>
        <w:t xml:space="preserve"> theo quy định tại Khoản 4</w:t>
      </w:r>
      <w:r>
        <w:rPr>
          <w:rFonts w:ascii="Times New Roman" w:hAnsi="Times New Roman"/>
        </w:rPr>
        <w:t>, 5</w:t>
      </w:r>
      <w:r w:rsidR="005A666B">
        <w:rPr>
          <w:rFonts w:ascii="Times New Roman" w:hAnsi="Times New Roman"/>
        </w:rPr>
        <w:t xml:space="preserve"> Điều 19 Nghị định số 32/2015/NĐ-CP ngày 25/3/2015 của Chính phủ về quản lý chi phí đầu tư xây dựng. </w:t>
      </w:r>
    </w:p>
    <w:p w:rsidR="00A66CF7" w:rsidRDefault="007F44D6" w:rsidP="00A66CF7">
      <w:pPr>
        <w:spacing w:before="120" w:after="120" w:line="360" w:lineRule="exact"/>
        <w:ind w:firstLine="851"/>
        <w:jc w:val="both"/>
        <w:rPr>
          <w:rFonts w:ascii="Times New Roman" w:hAnsi="Times New Roman"/>
        </w:rPr>
      </w:pPr>
      <w:r>
        <w:rPr>
          <w:rFonts w:ascii="Times New Roman" w:hAnsi="Times New Roman"/>
        </w:rPr>
        <w:t xml:space="preserve">Nhà thầu tư vấn lập dự toán xây dựng </w:t>
      </w:r>
      <w:r w:rsidR="00222F6F">
        <w:rPr>
          <w:rFonts w:ascii="Times New Roman" w:hAnsi="Times New Roman"/>
        </w:rPr>
        <w:t xml:space="preserve">căn cứ vào hồ sơ </w:t>
      </w:r>
      <w:r>
        <w:rPr>
          <w:rFonts w:ascii="Times New Roman" w:hAnsi="Times New Roman"/>
        </w:rPr>
        <w:t xml:space="preserve">thiết kế của công trình đề xuất </w:t>
      </w:r>
      <w:r w:rsidR="00222F6F">
        <w:rPr>
          <w:rFonts w:ascii="Times New Roman" w:hAnsi="Times New Roman"/>
        </w:rPr>
        <w:t xml:space="preserve">mức hao phí vật liệu phù hợp </w:t>
      </w:r>
      <w:r w:rsidR="00A66CF7">
        <w:rPr>
          <w:rFonts w:ascii="Times New Roman" w:hAnsi="Times New Roman"/>
        </w:rPr>
        <w:t>và đảm bảo tính đầy đủ về hồ sơ tài liệu báo cáo chủ đầu tư theo quy định tại Khoản 4 Điều 17 Thông tư số 06/2016/TT-BXD ngày 10/3/2016 của Bộ Xây dựng hướng dẫn xác định và quản lý chi phí đầu tư xây dựng.</w:t>
      </w:r>
    </w:p>
    <w:p w:rsidR="00530B83" w:rsidRPr="00C26A8F" w:rsidRDefault="00042625" w:rsidP="00C26A8F">
      <w:pPr>
        <w:spacing w:before="120" w:after="120" w:line="360" w:lineRule="exact"/>
        <w:ind w:firstLine="720"/>
        <w:jc w:val="both"/>
        <w:rPr>
          <w:rFonts w:ascii="Times New Roman" w:hAnsi="Times New Roman"/>
        </w:rPr>
      </w:pPr>
      <w:r>
        <w:rPr>
          <w:rFonts w:ascii="Times New Roman" w:hAnsi="Times New Roman"/>
          <w:bCs/>
        </w:rPr>
        <w:t xml:space="preserve">Công ty Cổ phần </w:t>
      </w:r>
      <w:r w:rsidR="00E035EE">
        <w:rPr>
          <w:rFonts w:ascii="Times New Roman" w:hAnsi="Times New Roman"/>
          <w:bCs/>
        </w:rPr>
        <w:t>tư vấn đầu tư xây dựng công trình</w:t>
      </w:r>
      <w:r>
        <w:rPr>
          <w:rFonts w:ascii="Times New Roman" w:hAnsi="Times New Roman"/>
          <w:bCs/>
        </w:rPr>
        <w:t xml:space="preserve"> giao thông 1 – C</w:t>
      </w:r>
      <w:r w:rsidR="003A1957">
        <w:rPr>
          <w:rFonts w:ascii="Times New Roman" w:hAnsi="Times New Roman"/>
          <w:bCs/>
        </w:rPr>
        <w:t>I</w:t>
      </w:r>
      <w:r>
        <w:rPr>
          <w:rFonts w:ascii="Times New Roman" w:hAnsi="Times New Roman"/>
          <w:bCs/>
        </w:rPr>
        <w:t xml:space="preserve">ENCO1 </w:t>
      </w:r>
      <w:r w:rsidR="0046717C">
        <w:rPr>
          <w:rFonts w:ascii="Times New Roman" w:hAnsi="Times New Roman"/>
          <w:bCs/>
        </w:rPr>
        <w:t xml:space="preserve">căn cứ ý kiến nêu trên để </w:t>
      </w:r>
      <w:r w:rsidR="00284157" w:rsidRPr="00C26A8F">
        <w:rPr>
          <w:rFonts w:ascii="Times New Roman" w:hAnsi="Times New Roman"/>
          <w:bCs/>
        </w:rPr>
        <w:t>tổ chức thực hiện</w:t>
      </w:r>
      <w:r w:rsidR="009711D3">
        <w:rPr>
          <w:rFonts w:ascii="Times New Roman" w:hAnsi="Times New Roman"/>
          <w:bCs/>
        </w:rPr>
        <w:t xml:space="preserve"> theo quy định</w:t>
      </w:r>
      <w:r w:rsidR="00530B83" w:rsidRPr="00C26A8F">
        <w:rPr>
          <w:rFonts w:ascii="Times New Roman" w:hAnsi="Times New Roman"/>
          <w:bCs/>
          <w:lang w:val="vi-VN"/>
        </w:rPr>
        <w:t>./.</w:t>
      </w:r>
    </w:p>
    <w:tbl>
      <w:tblPr>
        <w:tblW w:w="8996" w:type="dxa"/>
        <w:tblInd w:w="108" w:type="dxa"/>
        <w:tblLayout w:type="fixed"/>
        <w:tblLook w:val="0000" w:firstRow="0" w:lastRow="0" w:firstColumn="0" w:lastColumn="0" w:noHBand="0" w:noVBand="0"/>
      </w:tblPr>
      <w:tblGrid>
        <w:gridCol w:w="3193"/>
        <w:gridCol w:w="462"/>
        <w:gridCol w:w="5341"/>
      </w:tblGrid>
      <w:tr w:rsidR="00FF5852" w:rsidRPr="00126A80" w:rsidTr="00FF5852">
        <w:trPr>
          <w:trHeight w:val="263"/>
        </w:trPr>
        <w:tc>
          <w:tcPr>
            <w:tcW w:w="3193" w:type="dxa"/>
          </w:tcPr>
          <w:p w:rsidR="00FF5852" w:rsidRPr="00126A80" w:rsidRDefault="00FF5852" w:rsidP="00926F9D">
            <w:pPr>
              <w:spacing w:before="40"/>
              <w:jc w:val="both"/>
              <w:rPr>
                <w:i/>
                <w:color w:val="0000FF"/>
                <w:sz w:val="25"/>
              </w:rPr>
            </w:pPr>
          </w:p>
        </w:tc>
        <w:tc>
          <w:tcPr>
            <w:tcW w:w="462" w:type="dxa"/>
          </w:tcPr>
          <w:p w:rsidR="00FF5852" w:rsidRPr="00126A80" w:rsidRDefault="00FF5852" w:rsidP="00926F9D">
            <w:pPr>
              <w:spacing w:before="40"/>
              <w:jc w:val="both"/>
              <w:rPr>
                <w:rFonts w:ascii=".VnTimeH" w:hAnsi=".VnTimeH"/>
                <w:b/>
                <w:color w:val="0000FF"/>
                <w:sz w:val="24"/>
              </w:rPr>
            </w:pPr>
          </w:p>
        </w:tc>
        <w:tc>
          <w:tcPr>
            <w:tcW w:w="5341" w:type="dxa"/>
          </w:tcPr>
          <w:p w:rsidR="00FF5852" w:rsidRPr="004D2C3A" w:rsidRDefault="00FF5852"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r>
      <w:tr w:rsidR="00FF5852" w:rsidRPr="00126A80" w:rsidTr="00FF5852">
        <w:trPr>
          <w:trHeight w:val="323"/>
        </w:trPr>
        <w:tc>
          <w:tcPr>
            <w:tcW w:w="3193" w:type="dxa"/>
          </w:tcPr>
          <w:p w:rsidR="00FF5852" w:rsidRPr="00A90279" w:rsidRDefault="00FF5852"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2" w:type="dxa"/>
          </w:tcPr>
          <w:p w:rsidR="00FF5852" w:rsidRPr="00126A80" w:rsidRDefault="00FF5852" w:rsidP="00926F9D">
            <w:pPr>
              <w:spacing w:before="40"/>
              <w:jc w:val="both"/>
              <w:rPr>
                <w:rFonts w:ascii=".VnTimeH" w:hAnsi=".VnTimeH"/>
                <w:b/>
                <w:color w:val="0000FF"/>
                <w:sz w:val="24"/>
              </w:rPr>
            </w:pPr>
          </w:p>
        </w:tc>
        <w:tc>
          <w:tcPr>
            <w:tcW w:w="5341" w:type="dxa"/>
          </w:tcPr>
          <w:p w:rsidR="00FF5852" w:rsidRPr="00843031" w:rsidRDefault="00FF5852"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r>
      <w:tr w:rsidR="00FF5852" w:rsidRPr="00126A80" w:rsidTr="00FF5852">
        <w:trPr>
          <w:trHeight w:val="141"/>
        </w:trPr>
        <w:tc>
          <w:tcPr>
            <w:tcW w:w="3193" w:type="dxa"/>
          </w:tcPr>
          <w:p w:rsidR="00FF5852" w:rsidRPr="003068DC" w:rsidRDefault="00FF5852"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FF5852" w:rsidRPr="003068DC" w:rsidRDefault="00FF5852" w:rsidP="00926F9D">
            <w:pPr>
              <w:jc w:val="both"/>
              <w:rPr>
                <w:rFonts w:ascii="Times New Roman" w:hAnsi="Times New Roman"/>
                <w:sz w:val="22"/>
                <w:szCs w:val="22"/>
              </w:rPr>
            </w:pPr>
            <w:r>
              <w:rPr>
                <w:rFonts w:ascii="Times New Roman" w:hAnsi="Times New Roman"/>
                <w:sz w:val="22"/>
                <w:szCs w:val="22"/>
              </w:rPr>
              <w:t>- Lưu: VT, Cục KTXD(L).</w:t>
            </w:r>
          </w:p>
          <w:p w:rsidR="00FF5852" w:rsidRPr="00126A80" w:rsidRDefault="00FF5852" w:rsidP="00926F9D">
            <w:pPr>
              <w:jc w:val="both"/>
              <w:rPr>
                <w:b/>
                <w:i/>
                <w:color w:val="0000FF"/>
                <w:sz w:val="25"/>
              </w:rPr>
            </w:pPr>
          </w:p>
        </w:tc>
        <w:tc>
          <w:tcPr>
            <w:tcW w:w="462" w:type="dxa"/>
          </w:tcPr>
          <w:p w:rsidR="00FF5852" w:rsidRPr="00126A80" w:rsidRDefault="00FF5852" w:rsidP="00926F9D">
            <w:pPr>
              <w:jc w:val="both"/>
              <w:rPr>
                <w:rFonts w:ascii=".VnTimeH" w:hAnsi=".VnTimeH"/>
                <w:b/>
                <w:color w:val="0000FF"/>
                <w:sz w:val="24"/>
              </w:rPr>
            </w:pPr>
          </w:p>
        </w:tc>
        <w:tc>
          <w:tcPr>
            <w:tcW w:w="5341" w:type="dxa"/>
          </w:tcPr>
          <w:p w:rsidR="00FF5852" w:rsidRPr="00522DD4" w:rsidRDefault="00FF5852" w:rsidP="00DE2787">
            <w:pPr>
              <w:jc w:val="center"/>
              <w:rPr>
                <w:rFonts w:ascii="Times New Roman" w:hAnsi="Times New Roman"/>
                <w:b/>
                <w:sz w:val="46"/>
              </w:rPr>
            </w:pPr>
          </w:p>
          <w:p w:rsidR="00FF5852" w:rsidRPr="006B7A2E" w:rsidRDefault="00FF5852" w:rsidP="006B7A2E">
            <w:pPr>
              <w:spacing w:before="120" w:after="120"/>
              <w:jc w:val="center"/>
              <w:rPr>
                <w:rFonts w:ascii="Times New Roman" w:hAnsi="Times New Roman"/>
              </w:rPr>
            </w:pPr>
            <w:r w:rsidRPr="006B7A2E">
              <w:rPr>
                <w:rFonts w:ascii="Times New Roman" w:hAnsi="Times New Roman"/>
              </w:rPr>
              <w:t>(đã ký)</w:t>
            </w:r>
          </w:p>
          <w:p w:rsidR="00FF5852" w:rsidRDefault="00FF5852" w:rsidP="00FF5852">
            <w:pPr>
              <w:spacing w:line="360" w:lineRule="auto"/>
              <w:rPr>
                <w:rFonts w:ascii="Times New Roman" w:hAnsi="Times New Roman"/>
                <w:b/>
              </w:rPr>
            </w:pPr>
            <w:r>
              <w:rPr>
                <w:rFonts w:ascii="Times New Roman" w:hAnsi="Times New Roman"/>
                <w:b/>
                <w:sz w:val="24"/>
              </w:rPr>
              <w:t xml:space="preserve"> </w:t>
            </w:r>
            <w:r>
              <w:rPr>
                <w:rFonts w:ascii="Times New Roman" w:hAnsi="Times New Roman"/>
                <w:b/>
              </w:rPr>
              <w:t xml:space="preserve"> </w:t>
            </w:r>
          </w:p>
          <w:p w:rsidR="00FF5852" w:rsidRPr="004D2C3A" w:rsidRDefault="00FF5852" w:rsidP="00FF5852">
            <w:pPr>
              <w:spacing w:line="360" w:lineRule="auto"/>
              <w:jc w:val="center"/>
              <w:rPr>
                <w:rFonts w:ascii="Times New Roman" w:hAnsi="Times New Roman"/>
                <w:b/>
                <w:sz w:val="26"/>
                <w:szCs w:val="26"/>
              </w:rPr>
            </w:pPr>
            <w:r>
              <w:rPr>
                <w:rFonts w:ascii="Times New Roman" w:hAnsi="Times New Roman"/>
                <w:b/>
              </w:rPr>
              <w:t>Bùi Phạm Khánh</w:t>
            </w:r>
          </w:p>
        </w:tc>
      </w:tr>
    </w:tbl>
    <w:p w:rsidR="005A666B" w:rsidRDefault="005A666B" w:rsidP="00FF5852">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AE" w:rsidRDefault="00F553AE">
      <w:r>
        <w:separator/>
      </w:r>
    </w:p>
  </w:endnote>
  <w:endnote w:type="continuationSeparator" w:id="0">
    <w:p w:rsidR="00F553AE" w:rsidRDefault="00F5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Pr="00620706" w:rsidRDefault="00A165EA">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AE" w:rsidRDefault="00F553AE">
      <w:r>
        <w:separator/>
      </w:r>
    </w:p>
  </w:footnote>
  <w:footnote w:type="continuationSeparator" w:id="0">
    <w:p w:rsidR="00F553AE" w:rsidRDefault="00F5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31BAD"/>
    <w:rsid w:val="00032857"/>
    <w:rsid w:val="00033ED3"/>
    <w:rsid w:val="00034535"/>
    <w:rsid w:val="00035781"/>
    <w:rsid w:val="00036065"/>
    <w:rsid w:val="000375E4"/>
    <w:rsid w:val="00042625"/>
    <w:rsid w:val="00043633"/>
    <w:rsid w:val="00050470"/>
    <w:rsid w:val="000518D2"/>
    <w:rsid w:val="00054499"/>
    <w:rsid w:val="000572A1"/>
    <w:rsid w:val="00063BAB"/>
    <w:rsid w:val="000642E2"/>
    <w:rsid w:val="0006658A"/>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67203"/>
    <w:rsid w:val="00170A04"/>
    <w:rsid w:val="00171A0C"/>
    <w:rsid w:val="00171C10"/>
    <w:rsid w:val="001722C7"/>
    <w:rsid w:val="0017246A"/>
    <w:rsid w:val="001733C8"/>
    <w:rsid w:val="00173524"/>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1709"/>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5A66"/>
    <w:rsid w:val="0037650D"/>
    <w:rsid w:val="00376CCE"/>
    <w:rsid w:val="00381099"/>
    <w:rsid w:val="003810AC"/>
    <w:rsid w:val="0038483F"/>
    <w:rsid w:val="00384D74"/>
    <w:rsid w:val="00385488"/>
    <w:rsid w:val="00385A1C"/>
    <w:rsid w:val="00387C6B"/>
    <w:rsid w:val="0039166D"/>
    <w:rsid w:val="00391D19"/>
    <w:rsid w:val="00393E8D"/>
    <w:rsid w:val="0039440E"/>
    <w:rsid w:val="003956E3"/>
    <w:rsid w:val="003A00C2"/>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722D"/>
    <w:rsid w:val="004D133A"/>
    <w:rsid w:val="004D2C3A"/>
    <w:rsid w:val="004D365D"/>
    <w:rsid w:val="004D4A4C"/>
    <w:rsid w:val="004D4B32"/>
    <w:rsid w:val="004E299F"/>
    <w:rsid w:val="004E403D"/>
    <w:rsid w:val="004F03E0"/>
    <w:rsid w:val="004F1C7F"/>
    <w:rsid w:val="004F6B2F"/>
    <w:rsid w:val="004F6B3C"/>
    <w:rsid w:val="0050011A"/>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15FF"/>
    <w:rsid w:val="00572E82"/>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0916"/>
    <w:rsid w:val="006E25CF"/>
    <w:rsid w:val="006E5EFF"/>
    <w:rsid w:val="006F0C92"/>
    <w:rsid w:val="00700680"/>
    <w:rsid w:val="0070184E"/>
    <w:rsid w:val="007034DE"/>
    <w:rsid w:val="007063E2"/>
    <w:rsid w:val="007064B2"/>
    <w:rsid w:val="00714BA5"/>
    <w:rsid w:val="00714E42"/>
    <w:rsid w:val="007158AD"/>
    <w:rsid w:val="0072175F"/>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44D6"/>
    <w:rsid w:val="007F4FE9"/>
    <w:rsid w:val="007F58C3"/>
    <w:rsid w:val="00801F36"/>
    <w:rsid w:val="008074E4"/>
    <w:rsid w:val="00807E93"/>
    <w:rsid w:val="00807F2C"/>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0F6E"/>
    <w:rsid w:val="008C1A94"/>
    <w:rsid w:val="008C1DE4"/>
    <w:rsid w:val="008C1DF8"/>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EC"/>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53A7"/>
    <w:rsid w:val="00B9542D"/>
    <w:rsid w:val="00BA0ADE"/>
    <w:rsid w:val="00BA200E"/>
    <w:rsid w:val="00BA20D9"/>
    <w:rsid w:val="00BA571F"/>
    <w:rsid w:val="00BB124C"/>
    <w:rsid w:val="00BB38E6"/>
    <w:rsid w:val="00BB5379"/>
    <w:rsid w:val="00BB740C"/>
    <w:rsid w:val="00BC0858"/>
    <w:rsid w:val="00BC0967"/>
    <w:rsid w:val="00BC0B29"/>
    <w:rsid w:val="00BC2D11"/>
    <w:rsid w:val="00BC500E"/>
    <w:rsid w:val="00BC7A24"/>
    <w:rsid w:val="00BD33B3"/>
    <w:rsid w:val="00BD4DFB"/>
    <w:rsid w:val="00BD6DD8"/>
    <w:rsid w:val="00BE175C"/>
    <w:rsid w:val="00BE2365"/>
    <w:rsid w:val="00BE4F77"/>
    <w:rsid w:val="00BF0AF9"/>
    <w:rsid w:val="00BF19A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27BCC"/>
    <w:rsid w:val="00D46C41"/>
    <w:rsid w:val="00D47938"/>
    <w:rsid w:val="00D5240E"/>
    <w:rsid w:val="00D54493"/>
    <w:rsid w:val="00D555C0"/>
    <w:rsid w:val="00D65FB8"/>
    <w:rsid w:val="00D67C04"/>
    <w:rsid w:val="00D70D51"/>
    <w:rsid w:val="00D72536"/>
    <w:rsid w:val="00D766B1"/>
    <w:rsid w:val="00D7702F"/>
    <w:rsid w:val="00D80B41"/>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F0FDE"/>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3AE"/>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DCD9-7FD8-4134-A90A-FF31B6C2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3</cp:revision>
  <cp:lastPrinted>2018-05-07T09:48:00Z</cp:lastPrinted>
  <dcterms:created xsi:type="dcterms:W3CDTF">2018-05-10T01:59:00Z</dcterms:created>
  <dcterms:modified xsi:type="dcterms:W3CDTF">2018-05-10T02:26:00Z</dcterms:modified>
</cp:coreProperties>
</file>