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4345F" w:rsidP="00057697">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D446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057697">
              <w:rPr>
                <w:sz w:val="26"/>
                <w:szCs w:val="26"/>
              </w:rPr>
              <w:t>2970</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9F3CAD">
            <w:pPr>
              <w:pStyle w:val="Heading5"/>
              <w:spacing w:before="180"/>
              <w:rPr>
                <w:sz w:val="24"/>
                <w:szCs w:val="24"/>
                <w:lang w:val="en-US"/>
              </w:rPr>
            </w:pPr>
            <w:r w:rsidRPr="00997E99">
              <w:rPr>
                <w:sz w:val="24"/>
                <w:szCs w:val="24"/>
                <w:lang w:val="en-US"/>
              </w:rPr>
              <w:t xml:space="preserve">V/v </w:t>
            </w:r>
            <w:r w:rsidR="009F3CAD">
              <w:rPr>
                <w:sz w:val="24"/>
                <w:szCs w:val="24"/>
                <w:lang w:val="en-US"/>
              </w:rPr>
              <w:t>Áp dụng đ</w:t>
            </w:r>
            <w:r w:rsidR="00A51330">
              <w:rPr>
                <w:sz w:val="24"/>
                <w:szCs w:val="24"/>
                <w:lang w:val="en-US"/>
              </w:rPr>
              <w:t>ịnh mức</w:t>
            </w:r>
            <w:r w:rsidR="005516F4">
              <w:rPr>
                <w:sz w:val="24"/>
                <w:szCs w:val="24"/>
                <w:lang w:val="en-US"/>
              </w:rPr>
              <w:t xml:space="preserve"> cho </w:t>
            </w:r>
            <w:r w:rsidR="00F124E7">
              <w:rPr>
                <w:sz w:val="24"/>
                <w:szCs w:val="24"/>
                <w:lang w:val="en-US"/>
              </w:rPr>
              <w:t>công tác</w:t>
            </w:r>
            <w:r w:rsidR="005516F4">
              <w:rPr>
                <w:sz w:val="24"/>
                <w:szCs w:val="24"/>
                <w:lang w:val="en-US"/>
              </w:rPr>
              <w:t xml:space="preserve"> đào vật liệu không thích hợp</w:t>
            </w:r>
            <w:r w:rsidR="00387D78">
              <w:rPr>
                <w:sz w:val="24"/>
                <w:szCs w:val="24"/>
                <w:lang w:val="en-US"/>
              </w:rPr>
              <w:t xml:space="preserve"> </w:t>
            </w:r>
            <w:r w:rsidR="009F3CAD">
              <w:rPr>
                <w:sz w:val="24"/>
                <w:szCs w:val="24"/>
                <w:lang w:val="en-US"/>
              </w:rPr>
              <w:t xml:space="preserve">để xây dựng đơn giá </w:t>
            </w:r>
            <w:r w:rsidR="00387D78">
              <w:rPr>
                <w:sz w:val="24"/>
                <w:szCs w:val="24"/>
                <w:lang w:val="en-US"/>
              </w:rPr>
              <w:t>trong thanh toán hợp đồng xây dựng</w:t>
            </w:r>
            <w:r w:rsidRPr="00997E99">
              <w:rPr>
                <w:sz w:val="24"/>
                <w:szCs w:val="24"/>
                <w:lang w:val="en-US"/>
              </w:rPr>
              <w:t>.</w:t>
            </w:r>
          </w:p>
        </w:tc>
        <w:tc>
          <w:tcPr>
            <w:tcW w:w="5753" w:type="dxa"/>
            <w:tcBorders>
              <w:top w:val="nil"/>
              <w:left w:val="nil"/>
              <w:bottom w:val="nil"/>
              <w:right w:val="nil"/>
            </w:tcBorders>
          </w:tcPr>
          <w:p w:rsidR="001945B5" w:rsidRPr="00997E99" w:rsidRDefault="00C4345F" w:rsidP="00057697">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DD3B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057697">
              <w:rPr>
                <w:i/>
                <w:iCs/>
                <w:sz w:val="26"/>
                <w:szCs w:val="26"/>
              </w:rPr>
              <w:t xml:space="preserve">11 </w:t>
            </w:r>
            <w:r w:rsidR="001945B5" w:rsidRPr="00997E99">
              <w:rPr>
                <w:i/>
                <w:iCs/>
                <w:sz w:val="26"/>
                <w:szCs w:val="26"/>
              </w:rPr>
              <w:t>tháng</w:t>
            </w:r>
            <w:r w:rsidR="0041323A" w:rsidRPr="00997E99">
              <w:rPr>
                <w:i/>
                <w:iCs/>
                <w:sz w:val="26"/>
                <w:szCs w:val="26"/>
              </w:rPr>
              <w:t xml:space="preserve"> </w:t>
            </w:r>
            <w:r w:rsidR="00057697">
              <w:rPr>
                <w:i/>
                <w:iCs/>
                <w:sz w:val="26"/>
                <w:szCs w:val="26"/>
              </w:rPr>
              <w:t>12</w:t>
            </w:r>
            <w:r w:rsidR="001945B5" w:rsidRPr="00997E99">
              <w:rPr>
                <w:i/>
                <w:iCs/>
                <w:sz w:val="26"/>
                <w:szCs w:val="26"/>
              </w:rPr>
              <w:t xml:space="preserve"> 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58" w:type="dxa"/>
        <w:tblInd w:w="-86" w:type="dxa"/>
        <w:tblLayout w:type="fixed"/>
        <w:tblCellMar>
          <w:left w:w="56" w:type="dxa"/>
          <w:right w:w="56" w:type="dxa"/>
        </w:tblCellMar>
        <w:tblLook w:val="0000" w:firstRow="0" w:lastRow="0" w:firstColumn="0" w:lastColumn="0" w:noHBand="0" w:noVBand="0"/>
      </w:tblPr>
      <w:tblGrid>
        <w:gridCol w:w="2213"/>
        <w:gridCol w:w="6945"/>
      </w:tblGrid>
      <w:tr w:rsidR="004900C1" w:rsidRPr="002F49B9" w:rsidTr="006571D2">
        <w:tc>
          <w:tcPr>
            <w:tcW w:w="2213" w:type="dxa"/>
            <w:tcBorders>
              <w:top w:val="nil"/>
              <w:left w:val="nil"/>
              <w:bottom w:val="nil"/>
              <w:right w:val="nil"/>
            </w:tcBorders>
          </w:tcPr>
          <w:p w:rsidR="004900C1" w:rsidRPr="004900C1" w:rsidRDefault="004900C1">
            <w:pPr>
              <w:spacing w:before="60"/>
              <w:jc w:val="right"/>
            </w:pPr>
            <w:r w:rsidRPr="004900C1">
              <w:t>Kính gửi:</w:t>
            </w:r>
          </w:p>
        </w:tc>
        <w:tc>
          <w:tcPr>
            <w:tcW w:w="6945" w:type="dxa"/>
            <w:tcBorders>
              <w:top w:val="nil"/>
              <w:left w:val="nil"/>
              <w:bottom w:val="nil"/>
              <w:right w:val="nil"/>
            </w:tcBorders>
          </w:tcPr>
          <w:p w:rsidR="004900C1" w:rsidRPr="002F49B9" w:rsidRDefault="002F49B9" w:rsidP="006571D2">
            <w:pPr>
              <w:pStyle w:val="Header"/>
              <w:tabs>
                <w:tab w:val="clear" w:pos="4320"/>
                <w:tab w:val="clear" w:pos="8640"/>
              </w:tabs>
              <w:spacing w:before="60"/>
            </w:pPr>
            <w:r w:rsidRPr="002F49B9">
              <w:t xml:space="preserve">Công ty </w:t>
            </w:r>
            <w:r w:rsidR="006571D2">
              <w:t>CP</w:t>
            </w:r>
            <w:r w:rsidRPr="002F49B9">
              <w:t xml:space="preserve"> </w:t>
            </w:r>
            <w:r w:rsidR="000F1574">
              <w:t>đầu tư và xây dựng giao thông Phương Thành</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B172B1">
        <w:t>149</w:t>
      </w:r>
      <w:r w:rsidR="00D807E5">
        <w:t>8</w:t>
      </w:r>
      <w:r w:rsidR="00816E7F">
        <w:t>/</w:t>
      </w:r>
      <w:r w:rsidR="00D807E5">
        <w:t>PV</w:t>
      </w:r>
      <w:r w:rsidR="003B0193">
        <w:t>C</w:t>
      </w:r>
      <w:r w:rsidR="00D807E5">
        <w:t>G</w:t>
      </w:r>
      <w:r w:rsidR="004B1552">
        <w:t>-</w:t>
      </w:r>
      <w:r w:rsidR="00A43283">
        <w:t>KH</w:t>
      </w:r>
      <w:r w:rsidR="00A447A5" w:rsidRPr="002F49B9">
        <w:t xml:space="preserve"> ngày</w:t>
      </w:r>
      <w:r w:rsidR="00DA3400" w:rsidRPr="002F49B9">
        <w:t xml:space="preserve"> </w:t>
      </w:r>
      <w:r w:rsidR="00B172B1">
        <w:t>07</w:t>
      </w:r>
      <w:r w:rsidR="00A809A7" w:rsidRPr="002F49B9">
        <w:t>/</w:t>
      </w:r>
      <w:r w:rsidR="00B172B1">
        <w:t>11</w:t>
      </w:r>
      <w:r w:rsidR="00A447A5" w:rsidRPr="002F49B9">
        <w:t>/20</w:t>
      </w:r>
      <w:r w:rsidR="00792AAA" w:rsidRPr="002F49B9">
        <w:t>1</w:t>
      </w:r>
      <w:r w:rsidR="00816E7F">
        <w:t>7</w:t>
      </w:r>
      <w:r w:rsidR="00A447A5" w:rsidRPr="002F49B9">
        <w:t xml:space="preserve"> </w:t>
      </w:r>
      <w:r w:rsidR="004C3C05">
        <w:t xml:space="preserve">của </w:t>
      </w:r>
      <w:r w:rsidR="009F488A" w:rsidRPr="002F49B9">
        <w:t xml:space="preserve">Công ty </w:t>
      </w:r>
      <w:r w:rsidR="009F488A">
        <w:t>CP</w:t>
      </w:r>
      <w:r w:rsidR="009F488A" w:rsidRPr="002F49B9">
        <w:t xml:space="preserve"> </w:t>
      </w:r>
      <w:r w:rsidR="009F488A">
        <w:t>đầu tư và xây dựng giao thông Phương Thành</w:t>
      </w:r>
      <w:r w:rsidR="009F488A" w:rsidRPr="009F488A">
        <w:t xml:space="preserve"> </w:t>
      </w:r>
      <w:r w:rsidR="00D92CA3">
        <w:t xml:space="preserve">đề nghị hướng dẫn áp dụng định mức </w:t>
      </w:r>
      <w:r w:rsidR="009F488A" w:rsidRPr="009F488A">
        <w:t>cho công tác đào vật liệu không thích hợp</w:t>
      </w:r>
      <w:r w:rsidR="00F472E4" w:rsidRPr="002F49B9">
        <w:t xml:space="preserve">. </w:t>
      </w:r>
      <w:r w:rsidRPr="004C3C05">
        <w:t xml:space="preserve">Sau khi xem xét, </w:t>
      </w:r>
      <w:r w:rsidR="00A447A5" w:rsidRPr="004C3C05">
        <w:t>Bộ Xây dựng có ý kiến như sau:</w:t>
      </w:r>
    </w:p>
    <w:p w:rsidR="00E062DF" w:rsidRDefault="003F2F9F" w:rsidP="003F2F9F">
      <w:pPr>
        <w:pStyle w:val="ListParagraph"/>
        <w:numPr>
          <w:ilvl w:val="0"/>
          <w:numId w:val="18"/>
        </w:numPr>
        <w:tabs>
          <w:tab w:val="left" w:pos="540"/>
          <w:tab w:val="left" w:pos="993"/>
        </w:tabs>
        <w:spacing w:before="120" w:after="120" w:line="264" w:lineRule="auto"/>
        <w:ind w:left="-14" w:firstLine="723"/>
        <w:jc w:val="both"/>
      </w:pPr>
      <w:r>
        <w:t>Việc thanh toán, quyết toán hợp đồng xây dựng thực hiện theo nội dung hợp đồng đã ký kết giữa các bên, phù hợp với hồ sơ mời thầu, hồ sơ dự thầu và quy định của pháp luật áp dụng cho hợp đồng</w:t>
      </w:r>
      <w:r w:rsidR="007C7D08">
        <w:t>.</w:t>
      </w:r>
    </w:p>
    <w:p w:rsidR="00C36CAB" w:rsidRDefault="008025C9" w:rsidP="003F2F9F">
      <w:pPr>
        <w:pStyle w:val="ListParagraph"/>
        <w:numPr>
          <w:ilvl w:val="0"/>
          <w:numId w:val="18"/>
        </w:numPr>
        <w:tabs>
          <w:tab w:val="left" w:pos="540"/>
          <w:tab w:val="left" w:pos="993"/>
        </w:tabs>
        <w:spacing w:before="120" w:after="120" w:line="264" w:lineRule="auto"/>
        <w:ind w:left="-14" w:firstLine="723"/>
        <w:jc w:val="both"/>
      </w:pPr>
      <w:r>
        <w:t xml:space="preserve">Theo nội dung văn bản </w:t>
      </w:r>
      <w:r w:rsidRPr="002F49B9">
        <w:t xml:space="preserve">số </w:t>
      </w:r>
      <w:r>
        <w:t>1498/PVCG-KH,</w:t>
      </w:r>
      <w:r w:rsidR="00A717DC">
        <w:t xml:space="preserve"> khối lượng thực tế thi công công tác (hạng mục) đào vật liệu không thích hợp tăng trên 125% so với khối lượng trong hợp đồng</w:t>
      </w:r>
      <w:r w:rsidR="008775BE">
        <w:t>;</w:t>
      </w:r>
      <w:r w:rsidR="00A717DC">
        <w:t xml:space="preserve"> </w:t>
      </w:r>
      <w:r w:rsidR="00CF5872">
        <w:t xml:space="preserve">trong hợp đồng đối với các khối lượng thực hiện lớn hơn 125% thì sẽ lập đơn giá mới; </w:t>
      </w:r>
      <w:r w:rsidR="008775BE">
        <w:t>biện pháp tổ chức thi công đối với công tác này đã được chủ đầu tư, tư vấn giám sát chấp thuận</w:t>
      </w:r>
      <w:r w:rsidR="00E626FD">
        <w:t>;</w:t>
      </w:r>
      <w:r w:rsidR="0042051E">
        <w:t xml:space="preserve"> </w:t>
      </w:r>
      <w:r w:rsidR="00E626FD">
        <w:t>c</w:t>
      </w:r>
      <w:r w:rsidR="0036106B">
        <w:t>ăn cứ</w:t>
      </w:r>
      <w:r w:rsidR="0042051E">
        <w:t xml:space="preserve"> biện pháp tổ chức thi công được chấp thuận nhà thầu </w:t>
      </w:r>
      <w:r w:rsidR="00E626FD">
        <w:t xml:space="preserve">đã </w:t>
      </w:r>
      <w:r w:rsidR="0042051E">
        <w:t xml:space="preserve">xây dựng đơn giá cho công tác này. </w:t>
      </w:r>
      <w:r w:rsidR="00E90B2A">
        <w:t>Như vậy, v</w:t>
      </w:r>
      <w:r w:rsidR="0042051E">
        <w:t xml:space="preserve">iệc xây dựng đơn giá cho công tác đào vật liệu không thích hợp như </w:t>
      </w:r>
      <w:r w:rsidR="0042051E" w:rsidRPr="002F49B9">
        <w:t xml:space="preserve">Công ty </w:t>
      </w:r>
      <w:r w:rsidR="0042051E">
        <w:t>CP</w:t>
      </w:r>
      <w:r w:rsidR="0042051E" w:rsidRPr="002F49B9">
        <w:t xml:space="preserve"> </w:t>
      </w:r>
      <w:r w:rsidR="0042051E">
        <w:t xml:space="preserve">đầu tư và xây dựng giao thông Phương Thành nêu tại văn bản </w:t>
      </w:r>
      <w:r w:rsidR="0042051E" w:rsidRPr="002F49B9">
        <w:t xml:space="preserve">số </w:t>
      </w:r>
      <w:r w:rsidR="0042051E">
        <w:t>1498/PVCG-KH là phù hợp.</w:t>
      </w:r>
    </w:p>
    <w:p w:rsidR="00A447A5" w:rsidRPr="004C3C05" w:rsidRDefault="00C36CAB" w:rsidP="00567DB8">
      <w:pPr>
        <w:tabs>
          <w:tab w:val="left" w:pos="540"/>
        </w:tabs>
        <w:spacing w:before="120" w:after="120" w:line="264" w:lineRule="auto"/>
        <w:ind w:firstLine="720"/>
        <w:jc w:val="both"/>
      </w:pPr>
      <w:r w:rsidRPr="002F49B9">
        <w:t xml:space="preserve">Công ty </w:t>
      </w:r>
      <w:r>
        <w:t>CP</w:t>
      </w:r>
      <w:r w:rsidRPr="002F49B9">
        <w:t xml:space="preserve"> </w:t>
      </w:r>
      <w:r>
        <w:t>đầu tư và xây dựng giao thông Phương Thành</w:t>
      </w:r>
      <w:r w:rsidRPr="004C3C05">
        <w:t xml:space="preserve"> </w:t>
      </w:r>
      <w:r w:rsidR="00DB7066" w:rsidRPr="004C3C05">
        <w:t>căn cứ ý kiến trên</w:t>
      </w:r>
      <w:r w:rsidR="00A525C8" w:rsidRPr="004C3C05">
        <w:t xml:space="preserve"> để </w:t>
      </w:r>
      <w:r w:rsidR="00943D61">
        <w:t>báo cáo chủ đầu tư quyết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6C46C5">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6C46C5">
              <w:rPr>
                <w:sz w:val="24"/>
                <w:szCs w:val="24"/>
                <w:lang w:val="fr-FR"/>
              </w:rPr>
              <w:t>C</w:t>
            </w:r>
            <w:r w:rsidR="00347203" w:rsidRPr="00997E99">
              <w:rPr>
                <w:sz w:val="24"/>
                <w:szCs w:val="24"/>
                <w:lang w:val="fr-FR"/>
              </w:rPr>
              <w:t>ụ</w:t>
            </w:r>
            <w:r w:rsidR="006C46C5">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057697" w:rsidRPr="006B7A2E" w:rsidRDefault="00057697" w:rsidP="006B7A2E">
            <w:pPr>
              <w:spacing w:before="120" w:after="120"/>
              <w:jc w:val="center"/>
            </w:pPr>
            <w:bookmarkStart w:id="0" w:name="_GoBack"/>
            <w:bookmarkEnd w:id="0"/>
            <w:r w:rsidRPr="006B7A2E">
              <w:t>(đã ký)</w:t>
            </w:r>
          </w:p>
          <w:p w:rsidR="005E2209" w:rsidRPr="00947FDB" w:rsidRDefault="00057697" w:rsidP="00DA6AAA">
            <w:pPr>
              <w:ind w:right="-1"/>
              <w:jc w:val="center"/>
              <w:rPr>
                <w:i/>
                <w:iCs/>
                <w:lang w:val="fr-FR"/>
              </w:rPr>
            </w:pPr>
            <w:r>
              <w:rPr>
                <w:i/>
                <w:iCs/>
                <w:lang w:val="fr-FR"/>
              </w:rPr>
              <w:t xml:space="preserve"> </w:t>
            </w:r>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A7F89">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8A" w:rsidRDefault="0060108A">
      <w:r>
        <w:separator/>
      </w:r>
    </w:p>
  </w:endnote>
  <w:endnote w:type="continuationSeparator" w:id="0">
    <w:p w:rsidR="0060108A" w:rsidRDefault="006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8A" w:rsidRDefault="0060108A">
      <w:r>
        <w:separator/>
      </w:r>
    </w:p>
  </w:footnote>
  <w:footnote w:type="continuationSeparator" w:id="0">
    <w:p w:rsidR="0060108A" w:rsidRDefault="00601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4564DF"/>
    <w:multiLevelType w:val="hybridMultilevel"/>
    <w:tmpl w:val="302ED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7"/>
  </w:num>
  <w:num w:numId="14">
    <w:abstractNumId w:val="5"/>
  </w:num>
  <w:num w:numId="15">
    <w:abstractNumId w:val="13"/>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281"/>
    <w:rsid w:val="0002555B"/>
    <w:rsid w:val="00030AC1"/>
    <w:rsid w:val="00040378"/>
    <w:rsid w:val="00045ACA"/>
    <w:rsid w:val="00047836"/>
    <w:rsid w:val="00050A70"/>
    <w:rsid w:val="000512F3"/>
    <w:rsid w:val="0005685B"/>
    <w:rsid w:val="00056E33"/>
    <w:rsid w:val="00057697"/>
    <w:rsid w:val="00057C0D"/>
    <w:rsid w:val="00065DB3"/>
    <w:rsid w:val="00071ABF"/>
    <w:rsid w:val="00074341"/>
    <w:rsid w:val="00075AD8"/>
    <w:rsid w:val="000873EF"/>
    <w:rsid w:val="00087712"/>
    <w:rsid w:val="00092957"/>
    <w:rsid w:val="000947C8"/>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1574"/>
    <w:rsid w:val="000F62B0"/>
    <w:rsid w:val="001021B7"/>
    <w:rsid w:val="00104F52"/>
    <w:rsid w:val="001050A1"/>
    <w:rsid w:val="00106A2B"/>
    <w:rsid w:val="00110291"/>
    <w:rsid w:val="00127B5D"/>
    <w:rsid w:val="001343AE"/>
    <w:rsid w:val="0013486F"/>
    <w:rsid w:val="00137DA2"/>
    <w:rsid w:val="001422B2"/>
    <w:rsid w:val="00144D92"/>
    <w:rsid w:val="00147EBF"/>
    <w:rsid w:val="00150F43"/>
    <w:rsid w:val="00157743"/>
    <w:rsid w:val="00163766"/>
    <w:rsid w:val="00166341"/>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978B6"/>
    <w:rsid w:val="001A3737"/>
    <w:rsid w:val="001A4D55"/>
    <w:rsid w:val="001C2D6D"/>
    <w:rsid w:val="001C66BA"/>
    <w:rsid w:val="001D3434"/>
    <w:rsid w:val="001D46C4"/>
    <w:rsid w:val="001E0F5D"/>
    <w:rsid w:val="001E5356"/>
    <w:rsid w:val="001E6256"/>
    <w:rsid w:val="00206F69"/>
    <w:rsid w:val="00207920"/>
    <w:rsid w:val="0021340A"/>
    <w:rsid w:val="0022373C"/>
    <w:rsid w:val="00224958"/>
    <w:rsid w:val="00225227"/>
    <w:rsid w:val="002374B9"/>
    <w:rsid w:val="0024311D"/>
    <w:rsid w:val="00252EEB"/>
    <w:rsid w:val="00254008"/>
    <w:rsid w:val="0025731A"/>
    <w:rsid w:val="00260E49"/>
    <w:rsid w:val="00262285"/>
    <w:rsid w:val="00262440"/>
    <w:rsid w:val="00262D9E"/>
    <w:rsid w:val="00271535"/>
    <w:rsid w:val="00271B50"/>
    <w:rsid w:val="002827D8"/>
    <w:rsid w:val="002827FF"/>
    <w:rsid w:val="002853ED"/>
    <w:rsid w:val="0028772A"/>
    <w:rsid w:val="00290F61"/>
    <w:rsid w:val="00291EE6"/>
    <w:rsid w:val="0029275B"/>
    <w:rsid w:val="00294C2E"/>
    <w:rsid w:val="00294C96"/>
    <w:rsid w:val="002A542D"/>
    <w:rsid w:val="002B7D54"/>
    <w:rsid w:val="002C5B60"/>
    <w:rsid w:val="002D042F"/>
    <w:rsid w:val="002D69B6"/>
    <w:rsid w:val="002D6D5B"/>
    <w:rsid w:val="002D6DA7"/>
    <w:rsid w:val="002E1DE1"/>
    <w:rsid w:val="002F1903"/>
    <w:rsid w:val="002F49B9"/>
    <w:rsid w:val="00300E8A"/>
    <w:rsid w:val="0030343A"/>
    <w:rsid w:val="00303AF3"/>
    <w:rsid w:val="003136BD"/>
    <w:rsid w:val="00316827"/>
    <w:rsid w:val="00316E25"/>
    <w:rsid w:val="00317136"/>
    <w:rsid w:val="00330602"/>
    <w:rsid w:val="00334992"/>
    <w:rsid w:val="00334EE4"/>
    <w:rsid w:val="003360BF"/>
    <w:rsid w:val="00347203"/>
    <w:rsid w:val="00350889"/>
    <w:rsid w:val="00357A9B"/>
    <w:rsid w:val="0036106B"/>
    <w:rsid w:val="00361356"/>
    <w:rsid w:val="00361637"/>
    <w:rsid w:val="00366980"/>
    <w:rsid w:val="00386D2D"/>
    <w:rsid w:val="00387A04"/>
    <w:rsid w:val="00387D78"/>
    <w:rsid w:val="00393446"/>
    <w:rsid w:val="003A0784"/>
    <w:rsid w:val="003A210E"/>
    <w:rsid w:val="003A2F1F"/>
    <w:rsid w:val="003B0193"/>
    <w:rsid w:val="003B0FD2"/>
    <w:rsid w:val="003B7469"/>
    <w:rsid w:val="003C3975"/>
    <w:rsid w:val="003D0EEC"/>
    <w:rsid w:val="003D2DB6"/>
    <w:rsid w:val="003D53B7"/>
    <w:rsid w:val="003E214D"/>
    <w:rsid w:val="003E2D23"/>
    <w:rsid w:val="003E2EC4"/>
    <w:rsid w:val="003E45BC"/>
    <w:rsid w:val="003E68C0"/>
    <w:rsid w:val="003F2134"/>
    <w:rsid w:val="003F2F9F"/>
    <w:rsid w:val="003F5D81"/>
    <w:rsid w:val="003F66FF"/>
    <w:rsid w:val="0040369E"/>
    <w:rsid w:val="0041323A"/>
    <w:rsid w:val="0042051E"/>
    <w:rsid w:val="0042092C"/>
    <w:rsid w:val="00432924"/>
    <w:rsid w:val="00435444"/>
    <w:rsid w:val="00442058"/>
    <w:rsid w:val="00442253"/>
    <w:rsid w:val="00444CCA"/>
    <w:rsid w:val="0044624D"/>
    <w:rsid w:val="00450467"/>
    <w:rsid w:val="00454ABD"/>
    <w:rsid w:val="004608DB"/>
    <w:rsid w:val="00460C40"/>
    <w:rsid w:val="004613C0"/>
    <w:rsid w:val="00461BF9"/>
    <w:rsid w:val="004668C2"/>
    <w:rsid w:val="00466E82"/>
    <w:rsid w:val="00467C7E"/>
    <w:rsid w:val="004700A8"/>
    <w:rsid w:val="00471784"/>
    <w:rsid w:val="0047313E"/>
    <w:rsid w:val="00483D03"/>
    <w:rsid w:val="00485B1E"/>
    <w:rsid w:val="0048619A"/>
    <w:rsid w:val="00487C8B"/>
    <w:rsid w:val="004900C1"/>
    <w:rsid w:val="00497B2F"/>
    <w:rsid w:val="004A4C3D"/>
    <w:rsid w:val="004B1552"/>
    <w:rsid w:val="004B1F24"/>
    <w:rsid w:val="004B4CDF"/>
    <w:rsid w:val="004B5848"/>
    <w:rsid w:val="004B5BD2"/>
    <w:rsid w:val="004B6242"/>
    <w:rsid w:val="004C0672"/>
    <w:rsid w:val="004C09A1"/>
    <w:rsid w:val="004C23B1"/>
    <w:rsid w:val="004C2460"/>
    <w:rsid w:val="004C3C05"/>
    <w:rsid w:val="004C62FB"/>
    <w:rsid w:val="004C7906"/>
    <w:rsid w:val="004C7BA6"/>
    <w:rsid w:val="004C7C7B"/>
    <w:rsid w:val="004D10CC"/>
    <w:rsid w:val="004D1E00"/>
    <w:rsid w:val="004D2DAC"/>
    <w:rsid w:val="004E2E30"/>
    <w:rsid w:val="004E2E99"/>
    <w:rsid w:val="004E7CCA"/>
    <w:rsid w:val="005041B2"/>
    <w:rsid w:val="00511F55"/>
    <w:rsid w:val="005128C7"/>
    <w:rsid w:val="005135AA"/>
    <w:rsid w:val="00516A87"/>
    <w:rsid w:val="00520008"/>
    <w:rsid w:val="0052405B"/>
    <w:rsid w:val="00526E5C"/>
    <w:rsid w:val="00530383"/>
    <w:rsid w:val="005350B6"/>
    <w:rsid w:val="00536E5B"/>
    <w:rsid w:val="005444D1"/>
    <w:rsid w:val="00545CE4"/>
    <w:rsid w:val="005500E7"/>
    <w:rsid w:val="005516F4"/>
    <w:rsid w:val="005570C4"/>
    <w:rsid w:val="00564B32"/>
    <w:rsid w:val="00567DB8"/>
    <w:rsid w:val="00573FB5"/>
    <w:rsid w:val="00575DAD"/>
    <w:rsid w:val="00585C07"/>
    <w:rsid w:val="00590280"/>
    <w:rsid w:val="005976A1"/>
    <w:rsid w:val="005A0F17"/>
    <w:rsid w:val="005A2129"/>
    <w:rsid w:val="005A3AE6"/>
    <w:rsid w:val="005A67D4"/>
    <w:rsid w:val="005A7F89"/>
    <w:rsid w:val="005B06C1"/>
    <w:rsid w:val="005B5588"/>
    <w:rsid w:val="005B5819"/>
    <w:rsid w:val="005B6BAA"/>
    <w:rsid w:val="005C0BD0"/>
    <w:rsid w:val="005C28A6"/>
    <w:rsid w:val="005C29A7"/>
    <w:rsid w:val="005C2D1A"/>
    <w:rsid w:val="005C50A3"/>
    <w:rsid w:val="005D04E6"/>
    <w:rsid w:val="005D1094"/>
    <w:rsid w:val="005D3981"/>
    <w:rsid w:val="005D5EAA"/>
    <w:rsid w:val="005E2209"/>
    <w:rsid w:val="005E333E"/>
    <w:rsid w:val="005E3984"/>
    <w:rsid w:val="005E4C88"/>
    <w:rsid w:val="005E6D19"/>
    <w:rsid w:val="005E754E"/>
    <w:rsid w:val="005F15D5"/>
    <w:rsid w:val="006000AE"/>
    <w:rsid w:val="006003D7"/>
    <w:rsid w:val="0060108A"/>
    <w:rsid w:val="00601469"/>
    <w:rsid w:val="00601B22"/>
    <w:rsid w:val="00602259"/>
    <w:rsid w:val="006024C8"/>
    <w:rsid w:val="00604C6A"/>
    <w:rsid w:val="00606A0C"/>
    <w:rsid w:val="006079B3"/>
    <w:rsid w:val="00607B8B"/>
    <w:rsid w:val="006131B6"/>
    <w:rsid w:val="0061396D"/>
    <w:rsid w:val="006209B6"/>
    <w:rsid w:val="00621760"/>
    <w:rsid w:val="006307BB"/>
    <w:rsid w:val="00642658"/>
    <w:rsid w:val="00645405"/>
    <w:rsid w:val="00645417"/>
    <w:rsid w:val="0064555E"/>
    <w:rsid w:val="0065272F"/>
    <w:rsid w:val="00655A76"/>
    <w:rsid w:val="006571D2"/>
    <w:rsid w:val="00657B23"/>
    <w:rsid w:val="006646C1"/>
    <w:rsid w:val="0068091B"/>
    <w:rsid w:val="00683099"/>
    <w:rsid w:val="00687ADD"/>
    <w:rsid w:val="0069056C"/>
    <w:rsid w:val="006A5D4C"/>
    <w:rsid w:val="006B2752"/>
    <w:rsid w:val="006B64C7"/>
    <w:rsid w:val="006C3795"/>
    <w:rsid w:val="006C3D2A"/>
    <w:rsid w:val="006C46C5"/>
    <w:rsid w:val="006D2277"/>
    <w:rsid w:val="006D51A9"/>
    <w:rsid w:val="007029E6"/>
    <w:rsid w:val="007045A2"/>
    <w:rsid w:val="00705857"/>
    <w:rsid w:val="00707475"/>
    <w:rsid w:val="007078B3"/>
    <w:rsid w:val="007103CE"/>
    <w:rsid w:val="00710D64"/>
    <w:rsid w:val="0071264B"/>
    <w:rsid w:val="007127EE"/>
    <w:rsid w:val="00714238"/>
    <w:rsid w:val="00715D0B"/>
    <w:rsid w:val="00720037"/>
    <w:rsid w:val="00721926"/>
    <w:rsid w:val="007224E8"/>
    <w:rsid w:val="00730579"/>
    <w:rsid w:val="00730BF3"/>
    <w:rsid w:val="00731547"/>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AAA"/>
    <w:rsid w:val="007936AA"/>
    <w:rsid w:val="007950C5"/>
    <w:rsid w:val="00796512"/>
    <w:rsid w:val="007A1A7D"/>
    <w:rsid w:val="007A719E"/>
    <w:rsid w:val="007B2C65"/>
    <w:rsid w:val="007C7D08"/>
    <w:rsid w:val="007F2D6C"/>
    <w:rsid w:val="007F7B48"/>
    <w:rsid w:val="00801115"/>
    <w:rsid w:val="0080219C"/>
    <w:rsid w:val="008025C9"/>
    <w:rsid w:val="00805574"/>
    <w:rsid w:val="00811934"/>
    <w:rsid w:val="00816E7F"/>
    <w:rsid w:val="0081712D"/>
    <w:rsid w:val="0082279A"/>
    <w:rsid w:val="00825D0B"/>
    <w:rsid w:val="00825D81"/>
    <w:rsid w:val="00826246"/>
    <w:rsid w:val="00830C27"/>
    <w:rsid w:val="00836C7C"/>
    <w:rsid w:val="00841599"/>
    <w:rsid w:val="00844F35"/>
    <w:rsid w:val="008463BA"/>
    <w:rsid w:val="008511C9"/>
    <w:rsid w:val="00870839"/>
    <w:rsid w:val="00871ECD"/>
    <w:rsid w:val="008775BE"/>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3D61"/>
    <w:rsid w:val="0094491F"/>
    <w:rsid w:val="00945983"/>
    <w:rsid w:val="00945AC7"/>
    <w:rsid w:val="009473A4"/>
    <w:rsid w:val="00947FDB"/>
    <w:rsid w:val="00953ADD"/>
    <w:rsid w:val="00957442"/>
    <w:rsid w:val="0096042D"/>
    <w:rsid w:val="009700C3"/>
    <w:rsid w:val="00976ECD"/>
    <w:rsid w:val="00994FF5"/>
    <w:rsid w:val="00996FF6"/>
    <w:rsid w:val="00997E99"/>
    <w:rsid w:val="009A237C"/>
    <w:rsid w:val="009B0202"/>
    <w:rsid w:val="009B2BE6"/>
    <w:rsid w:val="009B4837"/>
    <w:rsid w:val="009B5B06"/>
    <w:rsid w:val="009C036C"/>
    <w:rsid w:val="009C3951"/>
    <w:rsid w:val="009C4CBB"/>
    <w:rsid w:val="009D4CFA"/>
    <w:rsid w:val="009D54A5"/>
    <w:rsid w:val="009E2540"/>
    <w:rsid w:val="009E6A2F"/>
    <w:rsid w:val="009F13F5"/>
    <w:rsid w:val="009F226D"/>
    <w:rsid w:val="009F3CAD"/>
    <w:rsid w:val="009F488A"/>
    <w:rsid w:val="00A00F10"/>
    <w:rsid w:val="00A01969"/>
    <w:rsid w:val="00A0359D"/>
    <w:rsid w:val="00A03F8A"/>
    <w:rsid w:val="00A07965"/>
    <w:rsid w:val="00A07DF5"/>
    <w:rsid w:val="00A107EA"/>
    <w:rsid w:val="00A13CE7"/>
    <w:rsid w:val="00A14ADA"/>
    <w:rsid w:val="00A16F08"/>
    <w:rsid w:val="00A27F8E"/>
    <w:rsid w:val="00A31244"/>
    <w:rsid w:val="00A35541"/>
    <w:rsid w:val="00A42C84"/>
    <w:rsid w:val="00A43283"/>
    <w:rsid w:val="00A43317"/>
    <w:rsid w:val="00A447A5"/>
    <w:rsid w:val="00A51330"/>
    <w:rsid w:val="00A525C8"/>
    <w:rsid w:val="00A54B64"/>
    <w:rsid w:val="00A62951"/>
    <w:rsid w:val="00A717DC"/>
    <w:rsid w:val="00A749D6"/>
    <w:rsid w:val="00A809A7"/>
    <w:rsid w:val="00A877B2"/>
    <w:rsid w:val="00A90556"/>
    <w:rsid w:val="00A96B5A"/>
    <w:rsid w:val="00A97740"/>
    <w:rsid w:val="00AA6712"/>
    <w:rsid w:val="00AB29DA"/>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12FDE"/>
    <w:rsid w:val="00B1414E"/>
    <w:rsid w:val="00B172B1"/>
    <w:rsid w:val="00B23021"/>
    <w:rsid w:val="00B23768"/>
    <w:rsid w:val="00B23E9D"/>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F0080"/>
    <w:rsid w:val="00BF1915"/>
    <w:rsid w:val="00BF67A2"/>
    <w:rsid w:val="00C24EDA"/>
    <w:rsid w:val="00C34959"/>
    <w:rsid w:val="00C36346"/>
    <w:rsid w:val="00C36C3F"/>
    <w:rsid w:val="00C36CAB"/>
    <w:rsid w:val="00C37724"/>
    <w:rsid w:val="00C4345F"/>
    <w:rsid w:val="00C55312"/>
    <w:rsid w:val="00C57B5B"/>
    <w:rsid w:val="00C57DFC"/>
    <w:rsid w:val="00C60733"/>
    <w:rsid w:val="00C61B97"/>
    <w:rsid w:val="00C74109"/>
    <w:rsid w:val="00C76723"/>
    <w:rsid w:val="00C82EE6"/>
    <w:rsid w:val="00C840DB"/>
    <w:rsid w:val="00C844BE"/>
    <w:rsid w:val="00C86645"/>
    <w:rsid w:val="00C9006D"/>
    <w:rsid w:val="00CA0D94"/>
    <w:rsid w:val="00CA17BC"/>
    <w:rsid w:val="00CA52C8"/>
    <w:rsid w:val="00CB352E"/>
    <w:rsid w:val="00CC2612"/>
    <w:rsid w:val="00CC3C47"/>
    <w:rsid w:val="00CC72B0"/>
    <w:rsid w:val="00CD2BE6"/>
    <w:rsid w:val="00CD613D"/>
    <w:rsid w:val="00CD6504"/>
    <w:rsid w:val="00CD66BF"/>
    <w:rsid w:val="00CD7379"/>
    <w:rsid w:val="00CE19E8"/>
    <w:rsid w:val="00CE3939"/>
    <w:rsid w:val="00CF01A1"/>
    <w:rsid w:val="00CF2341"/>
    <w:rsid w:val="00CF3A32"/>
    <w:rsid w:val="00CF5872"/>
    <w:rsid w:val="00D00679"/>
    <w:rsid w:val="00D0067D"/>
    <w:rsid w:val="00D00E37"/>
    <w:rsid w:val="00D02530"/>
    <w:rsid w:val="00D043AF"/>
    <w:rsid w:val="00D04B8A"/>
    <w:rsid w:val="00D06E6B"/>
    <w:rsid w:val="00D12BC3"/>
    <w:rsid w:val="00D226B3"/>
    <w:rsid w:val="00D237A5"/>
    <w:rsid w:val="00D3673E"/>
    <w:rsid w:val="00D3757E"/>
    <w:rsid w:val="00D378AB"/>
    <w:rsid w:val="00D53205"/>
    <w:rsid w:val="00D5641E"/>
    <w:rsid w:val="00D645D2"/>
    <w:rsid w:val="00D66C8F"/>
    <w:rsid w:val="00D73BD1"/>
    <w:rsid w:val="00D77A85"/>
    <w:rsid w:val="00D807E5"/>
    <w:rsid w:val="00D809EA"/>
    <w:rsid w:val="00D8121C"/>
    <w:rsid w:val="00D90BD7"/>
    <w:rsid w:val="00D910F6"/>
    <w:rsid w:val="00D92CA3"/>
    <w:rsid w:val="00D95C33"/>
    <w:rsid w:val="00D95F2A"/>
    <w:rsid w:val="00D96E13"/>
    <w:rsid w:val="00DA12A4"/>
    <w:rsid w:val="00DA1EE3"/>
    <w:rsid w:val="00DA3400"/>
    <w:rsid w:val="00DA6AAA"/>
    <w:rsid w:val="00DB7066"/>
    <w:rsid w:val="00DC0EA0"/>
    <w:rsid w:val="00DD2E34"/>
    <w:rsid w:val="00DD34CB"/>
    <w:rsid w:val="00DD391B"/>
    <w:rsid w:val="00DE6236"/>
    <w:rsid w:val="00DF7175"/>
    <w:rsid w:val="00DF7B6E"/>
    <w:rsid w:val="00E03BD2"/>
    <w:rsid w:val="00E04224"/>
    <w:rsid w:val="00E062DF"/>
    <w:rsid w:val="00E10253"/>
    <w:rsid w:val="00E11A00"/>
    <w:rsid w:val="00E16DBD"/>
    <w:rsid w:val="00E25F88"/>
    <w:rsid w:val="00E27F1E"/>
    <w:rsid w:val="00E36260"/>
    <w:rsid w:val="00E503C9"/>
    <w:rsid w:val="00E533B9"/>
    <w:rsid w:val="00E5395B"/>
    <w:rsid w:val="00E6082E"/>
    <w:rsid w:val="00E626FD"/>
    <w:rsid w:val="00E65F11"/>
    <w:rsid w:val="00E67D44"/>
    <w:rsid w:val="00E8272E"/>
    <w:rsid w:val="00E844BE"/>
    <w:rsid w:val="00E8493D"/>
    <w:rsid w:val="00E86CC0"/>
    <w:rsid w:val="00E900B9"/>
    <w:rsid w:val="00E90AEF"/>
    <w:rsid w:val="00E90B2A"/>
    <w:rsid w:val="00E95BDA"/>
    <w:rsid w:val="00E967FD"/>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4E7"/>
    <w:rsid w:val="00F12E04"/>
    <w:rsid w:val="00F15869"/>
    <w:rsid w:val="00F27CB4"/>
    <w:rsid w:val="00F31CD9"/>
    <w:rsid w:val="00F33883"/>
    <w:rsid w:val="00F3767A"/>
    <w:rsid w:val="00F41391"/>
    <w:rsid w:val="00F472E4"/>
    <w:rsid w:val="00F509FE"/>
    <w:rsid w:val="00F5246D"/>
    <w:rsid w:val="00F538CB"/>
    <w:rsid w:val="00F53D6D"/>
    <w:rsid w:val="00F56759"/>
    <w:rsid w:val="00F65556"/>
    <w:rsid w:val="00F70033"/>
    <w:rsid w:val="00F71AA6"/>
    <w:rsid w:val="00F864C3"/>
    <w:rsid w:val="00F93AE2"/>
    <w:rsid w:val="00F94633"/>
    <w:rsid w:val="00F95E0C"/>
    <w:rsid w:val="00F97FE9"/>
    <w:rsid w:val="00FA4743"/>
    <w:rsid w:val="00FA7874"/>
    <w:rsid w:val="00FB0017"/>
    <w:rsid w:val="00FB360B"/>
    <w:rsid w:val="00FB452B"/>
    <w:rsid w:val="00FC5259"/>
    <w:rsid w:val="00FC78C3"/>
    <w:rsid w:val="00FC7982"/>
    <w:rsid w:val="00FD1CF4"/>
    <w:rsid w:val="00FD7C2E"/>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2017-12-04T08:24:00Z</cp:lastPrinted>
  <dcterms:created xsi:type="dcterms:W3CDTF">2017-12-13T02:02:00Z</dcterms:created>
  <dcterms:modified xsi:type="dcterms:W3CDTF">2017-12-13T02:37:00Z</dcterms:modified>
</cp:coreProperties>
</file>