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2E6052" w:rsidRPr="000613B8" w:rsidTr="00FA0A6A">
        <w:tc>
          <w:tcPr>
            <w:tcW w:w="3261" w:type="dxa"/>
          </w:tcPr>
          <w:p w:rsidR="002E6052" w:rsidRPr="000613B8" w:rsidRDefault="002E6052" w:rsidP="00FA0A6A">
            <w:pPr>
              <w:pStyle w:val="Heading2"/>
              <w:rPr>
                <w:rFonts w:ascii="Times New Roman" w:hAnsi="Times New Roman"/>
                <w:sz w:val="28"/>
                <w:szCs w:val="28"/>
              </w:rPr>
            </w:pPr>
            <w:r w:rsidRPr="000613B8">
              <w:rPr>
                <w:rFonts w:ascii="Times New Roman" w:hAnsi="Times New Roman"/>
                <w:sz w:val="28"/>
                <w:szCs w:val="28"/>
              </w:rPr>
              <w:t>BỘ XÂY DỰNG</w:t>
            </w:r>
          </w:p>
          <w:p w:rsidR="002E6052" w:rsidRPr="000613B8" w:rsidRDefault="002E6052" w:rsidP="00FA0A6A">
            <w:pPr>
              <w:spacing w:after="120" w:line="120" w:lineRule="auto"/>
              <w:jc w:val="center"/>
              <w:rPr>
                <w:szCs w:val="28"/>
              </w:rPr>
            </w:pPr>
            <w:r w:rsidRPr="000613B8">
              <w:rPr>
                <w:szCs w:val="28"/>
              </w:rPr>
              <w:t>_________</w:t>
            </w:r>
          </w:p>
          <w:p w:rsidR="002E6052" w:rsidRPr="000613B8" w:rsidRDefault="002E6052" w:rsidP="00FA0A6A">
            <w:pPr>
              <w:spacing w:after="120" w:line="120" w:lineRule="auto"/>
              <w:jc w:val="center"/>
              <w:rPr>
                <w:szCs w:val="28"/>
              </w:rPr>
            </w:pPr>
          </w:p>
          <w:p w:rsidR="002E6052" w:rsidRPr="000613B8" w:rsidRDefault="002E6052" w:rsidP="003D63CF">
            <w:pPr>
              <w:jc w:val="center"/>
            </w:pPr>
            <w:r w:rsidRPr="000613B8">
              <w:rPr>
                <w:szCs w:val="28"/>
              </w:rPr>
              <w:t xml:space="preserve">Số: </w:t>
            </w:r>
            <w:r w:rsidR="003D63CF">
              <w:rPr>
                <w:szCs w:val="28"/>
              </w:rPr>
              <w:t>183</w:t>
            </w:r>
            <w:r w:rsidRPr="000613B8">
              <w:rPr>
                <w:szCs w:val="28"/>
              </w:rPr>
              <w:t>/BXD-HĐXD</w:t>
            </w:r>
          </w:p>
        </w:tc>
        <w:tc>
          <w:tcPr>
            <w:tcW w:w="6192" w:type="dxa"/>
          </w:tcPr>
          <w:p w:rsidR="002E6052" w:rsidRPr="000613B8" w:rsidRDefault="002E6052"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2E6052" w:rsidRPr="000613B8" w:rsidRDefault="002E6052" w:rsidP="00FA0A6A">
            <w:pPr>
              <w:jc w:val="center"/>
              <w:rPr>
                <w:b/>
              </w:rPr>
            </w:pPr>
            <w:r w:rsidRPr="000613B8">
              <w:rPr>
                <w:b/>
              </w:rPr>
              <w:t>Độc lập - Tự do - Hạnh phúc</w:t>
            </w:r>
          </w:p>
          <w:p w:rsidR="002E6052" w:rsidRPr="000613B8" w:rsidRDefault="00BB2076"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2E6052" w:rsidRPr="000613B8" w:rsidRDefault="002E6052" w:rsidP="003D63CF">
            <w:pPr>
              <w:jc w:val="center"/>
            </w:pPr>
            <w:r w:rsidRPr="000613B8">
              <w:rPr>
                <w:i/>
              </w:rPr>
              <w:t>Hà Nộ</w:t>
            </w:r>
            <w:r>
              <w:rPr>
                <w:i/>
              </w:rPr>
              <w:t xml:space="preserve">i, ngày  </w:t>
            </w:r>
            <w:r w:rsidR="003D63CF">
              <w:rPr>
                <w:i/>
              </w:rPr>
              <w:t>11</w:t>
            </w:r>
            <w:r>
              <w:rPr>
                <w:i/>
              </w:rPr>
              <w:t xml:space="preserve"> tháng  1</w:t>
            </w:r>
            <w:r w:rsidR="00CC77AF">
              <w:rPr>
                <w:i/>
              </w:rPr>
              <w:t>2</w:t>
            </w:r>
            <w:r w:rsidRPr="000613B8">
              <w:rPr>
                <w:i/>
              </w:rPr>
              <w:t xml:space="preserve">  năm 2017.</w:t>
            </w:r>
          </w:p>
        </w:tc>
      </w:tr>
      <w:tr w:rsidR="002E6052" w:rsidRPr="00986F95" w:rsidTr="00FA0A6A">
        <w:tc>
          <w:tcPr>
            <w:tcW w:w="3261" w:type="dxa"/>
          </w:tcPr>
          <w:p w:rsidR="002E6052" w:rsidRPr="00986F95" w:rsidRDefault="002E6052" w:rsidP="00440ECC">
            <w:pPr>
              <w:pStyle w:val="Heading2"/>
              <w:jc w:val="both"/>
              <w:rPr>
                <w:rFonts w:ascii="Times New Roman" w:hAnsi="Times New Roman"/>
                <w:b w:val="0"/>
                <w:sz w:val="28"/>
                <w:szCs w:val="28"/>
                <w:lang w:val="vi-VN"/>
              </w:rPr>
            </w:pPr>
            <w:r w:rsidRPr="00986F95">
              <w:rPr>
                <w:rFonts w:ascii="Times New Roman" w:hAnsi="Times New Roman"/>
                <w:b w:val="0"/>
                <w:iCs/>
                <w:sz w:val="24"/>
              </w:rPr>
              <w:t xml:space="preserve">V/v </w:t>
            </w:r>
            <w:r w:rsidR="00986F95" w:rsidRPr="00986F95">
              <w:rPr>
                <w:rFonts w:ascii="Times New Roman" w:hAnsi="Times New Roman"/>
                <w:b w:val="0"/>
                <w:iCs/>
                <w:sz w:val="24"/>
              </w:rPr>
              <w:t>h</w:t>
            </w:r>
            <w:r w:rsidR="00986F95">
              <w:rPr>
                <w:rFonts w:ascii="Times New Roman" w:hAnsi="Times New Roman"/>
                <w:b w:val="0"/>
                <w:iCs/>
                <w:sz w:val="24"/>
              </w:rPr>
              <w:t>ướng dẫn về giấy phép xây dựng công trình tại số 164 Trần Quang Khải, Hoàn Kiếm, Hà Nội</w:t>
            </w:r>
          </w:p>
        </w:tc>
        <w:tc>
          <w:tcPr>
            <w:tcW w:w="6192" w:type="dxa"/>
          </w:tcPr>
          <w:p w:rsidR="002E6052" w:rsidRPr="00986F95" w:rsidRDefault="002E6052" w:rsidP="00FA0A6A">
            <w:pPr>
              <w:pStyle w:val="Heading2"/>
              <w:rPr>
                <w:rFonts w:ascii="Times New Roman" w:hAnsi="Times New Roman"/>
                <w:sz w:val="28"/>
              </w:rPr>
            </w:pPr>
          </w:p>
        </w:tc>
      </w:tr>
    </w:tbl>
    <w:p w:rsidR="002E6052" w:rsidRPr="000613B8" w:rsidRDefault="002E6052" w:rsidP="000613B8">
      <w:pPr>
        <w:rPr>
          <w:iCs/>
          <w:sz w:val="24"/>
        </w:rPr>
      </w:pPr>
    </w:p>
    <w:p w:rsidR="002E6052" w:rsidRPr="000613B8" w:rsidRDefault="002E6052" w:rsidP="000613B8">
      <w:pPr>
        <w:jc w:val="center"/>
        <w:rPr>
          <w:i/>
          <w:iCs/>
        </w:rPr>
      </w:pPr>
      <w:r w:rsidRPr="000613B8">
        <w:t xml:space="preserve">Kính gửi: </w:t>
      </w:r>
      <w:r>
        <w:t>Sở Xây dựng Hà Nội</w:t>
      </w:r>
    </w:p>
    <w:p w:rsidR="002E6052" w:rsidRPr="000613B8" w:rsidRDefault="002E6052" w:rsidP="000613B8">
      <w:r w:rsidRPr="000613B8">
        <w:tab/>
      </w:r>
    </w:p>
    <w:p w:rsidR="002E6052" w:rsidRDefault="002E6052" w:rsidP="002E6052">
      <w:pPr>
        <w:spacing w:after="120"/>
      </w:pPr>
      <w:r>
        <w:tab/>
        <w:t>Bộ Xây dựng nhận được văn bản số 11044/SXD-CP ngày 17/11/2017 của Sở Xây dựng Hà Nội đề nghị hướng dẫn về giấy phép xây dựng công trình tại số 164 Trần Quang Khải, Hoàn Kiếm, Hà Nội. Sau khi nghiên cứu, Bộ Xây dựng có ý kiến như sau:</w:t>
      </w:r>
    </w:p>
    <w:p w:rsidR="002E6052" w:rsidRDefault="002E6052" w:rsidP="002E6052">
      <w:pPr>
        <w:spacing w:after="120"/>
      </w:pPr>
      <w:r>
        <w:tab/>
        <w:t xml:space="preserve">Trụ sở làm việc của Ủy ban Chứng khoán nhà nước tại số 164 Trần Quang Khải, quận Hoàn Kiếm, Hà Nội được Bộ Tài chính phê duyệt chủ trương đầu tư tại Quyết định số 321/QĐ-BTC ngày 25/02/2016 và Chủ tịch Ủy ban Chứng khoán nhà nước phê duyệt dự án đầu tư xây dựng tại Quyết định số 1136/QĐ-UBCK ngày 25/10/2016 theo phân cấp đầu tư tại </w:t>
      </w:r>
      <w:r w:rsidR="001600E1">
        <w:t xml:space="preserve">Điểm 2.1 Khoản 2 Điều 4 Quyết định số 2298/QĐ-BTC ngày 06/9/2014 </w:t>
      </w:r>
      <w:r>
        <w:t xml:space="preserve">của </w:t>
      </w:r>
      <w:r w:rsidR="001600E1">
        <w:t xml:space="preserve">Bộ trưởng </w:t>
      </w:r>
      <w:r>
        <w:t>Bộ Tài chính</w:t>
      </w:r>
      <w:r w:rsidR="001600E1">
        <w:t xml:space="preserve"> về việc phân cấp, ủy quyền và tổ chức thực hiện đối với lĩnh vực tài chính, tài sản, đầu tư xây dựng, kiểm tra, kiểm toán nội bộ, ứng dụng công nghệ thông tin, mua sắm tập trung trong các cơ quan hành chính, đơn vị sự nghiệp, dự án vay nợ, viện trợ thuộc Bộ Tài chính</w:t>
      </w:r>
      <w:r>
        <w:t>.</w:t>
      </w:r>
      <w:r w:rsidR="001600E1">
        <w:t xml:space="preserve"> </w:t>
      </w:r>
    </w:p>
    <w:p w:rsidR="002E6052" w:rsidRDefault="001600E1" w:rsidP="002E6052">
      <w:pPr>
        <w:spacing w:after="120"/>
      </w:pPr>
      <w:r>
        <w:tab/>
      </w:r>
      <w:r w:rsidR="002E6052">
        <w:t xml:space="preserve">Do đó, công trình xây dựng Trụ sở làm việc của Ủy ban Chứng khoán nhà nước tại số 164 Trần Quang Khải, quận Hoàn Kiếm, Hà Nội không thuộc đối tượng miễn giấy phép xây dựng theo quy định tại </w:t>
      </w:r>
      <w:r w:rsidR="00B4198F">
        <w:t xml:space="preserve">Điểm b </w:t>
      </w:r>
      <w:r w:rsidR="002E6052">
        <w:t xml:space="preserve">Khoản </w:t>
      </w:r>
      <w:r w:rsidR="00B4198F">
        <w:t>2 Điều 89 Luật Xây dựng năm 2014.</w:t>
      </w:r>
    </w:p>
    <w:p w:rsidR="002E6052" w:rsidRPr="000613B8" w:rsidRDefault="00986F95" w:rsidP="00986F95">
      <w:pPr>
        <w:spacing w:after="120"/>
      </w:pPr>
      <w:r>
        <w:tab/>
        <w:t>Trên đây là ý kiến của Bộ Xây dựng, đề nghị Sở Xây dựng Hà Nội nghiên cứu, thực hiện./.</w:t>
      </w:r>
      <w:r w:rsidR="002E6052" w:rsidRPr="000613B8">
        <w:tab/>
      </w:r>
    </w:p>
    <w:p w:rsidR="002E6052" w:rsidRPr="000613B8" w:rsidRDefault="002E6052" w:rsidP="000613B8"/>
    <w:tbl>
      <w:tblPr>
        <w:tblW w:w="8789" w:type="dxa"/>
        <w:tblInd w:w="108" w:type="dxa"/>
        <w:tblLayout w:type="fixed"/>
        <w:tblLook w:val="0000" w:firstRow="0" w:lastRow="0" w:firstColumn="0" w:lastColumn="0" w:noHBand="0" w:noVBand="0"/>
      </w:tblPr>
      <w:tblGrid>
        <w:gridCol w:w="3402"/>
        <w:gridCol w:w="5387"/>
      </w:tblGrid>
      <w:tr w:rsidR="002E6052" w:rsidRPr="000613B8" w:rsidTr="0082295F">
        <w:tc>
          <w:tcPr>
            <w:tcW w:w="3402" w:type="dxa"/>
          </w:tcPr>
          <w:p w:rsidR="002E6052" w:rsidRPr="000613B8" w:rsidRDefault="002E6052" w:rsidP="00FA0A6A">
            <w:pPr>
              <w:rPr>
                <w:b/>
                <w:i/>
                <w:sz w:val="24"/>
              </w:rPr>
            </w:pPr>
            <w:r w:rsidRPr="000613B8">
              <w:rPr>
                <w:b/>
                <w:i/>
                <w:sz w:val="24"/>
              </w:rPr>
              <w:t>Nơi nhận:</w:t>
            </w:r>
          </w:p>
          <w:p w:rsidR="002E6052" w:rsidRDefault="002E6052" w:rsidP="00FA0A6A">
            <w:pPr>
              <w:ind w:left="312" w:hanging="136"/>
              <w:rPr>
                <w:sz w:val="24"/>
              </w:rPr>
            </w:pPr>
            <w:r w:rsidRPr="000613B8">
              <w:rPr>
                <w:sz w:val="24"/>
              </w:rPr>
              <w:t>- Như trên;</w:t>
            </w:r>
          </w:p>
          <w:p w:rsidR="0082295F" w:rsidRPr="000613B8" w:rsidRDefault="0082295F" w:rsidP="00FA0A6A">
            <w:pPr>
              <w:ind w:left="312" w:hanging="136"/>
              <w:rPr>
                <w:sz w:val="24"/>
              </w:rPr>
            </w:pPr>
            <w:r>
              <w:rPr>
                <w:sz w:val="24"/>
              </w:rPr>
              <w:t>- TT Lê Quang Hùng (để b/c);</w:t>
            </w:r>
          </w:p>
          <w:p w:rsidR="002E6052" w:rsidRPr="000613B8" w:rsidRDefault="002E6052" w:rsidP="0082295F">
            <w:pPr>
              <w:ind w:left="312" w:hanging="136"/>
              <w:rPr>
                <w:b/>
                <w:sz w:val="24"/>
              </w:rPr>
            </w:pPr>
            <w:r w:rsidRPr="000613B8">
              <w:rPr>
                <w:sz w:val="24"/>
              </w:rPr>
              <w:t>- Lưu: VT, HĐXD (NLĐ - 0</w:t>
            </w:r>
            <w:r w:rsidR="0082295F">
              <w:rPr>
                <w:sz w:val="24"/>
              </w:rPr>
              <w:t>4</w:t>
            </w:r>
            <w:r w:rsidRPr="000613B8">
              <w:rPr>
                <w:sz w:val="24"/>
              </w:rPr>
              <w:t>).</w:t>
            </w:r>
          </w:p>
        </w:tc>
        <w:tc>
          <w:tcPr>
            <w:tcW w:w="5387" w:type="dxa"/>
          </w:tcPr>
          <w:p w:rsidR="002E6052" w:rsidRPr="0082295F" w:rsidRDefault="0082295F" w:rsidP="00FA0A6A">
            <w:pPr>
              <w:pStyle w:val="Heading2"/>
              <w:rPr>
                <w:rFonts w:ascii="Times New Roman" w:hAnsi="Times New Roman"/>
              </w:rPr>
            </w:pPr>
            <w:r w:rsidRPr="0082295F">
              <w:rPr>
                <w:rFonts w:ascii="Times New Roman" w:hAnsi="Times New Roman"/>
              </w:rPr>
              <w:t>TL</w:t>
            </w:r>
            <w:r w:rsidR="002E6052" w:rsidRPr="0082295F">
              <w:rPr>
                <w:rFonts w:ascii="Times New Roman" w:hAnsi="Times New Roman"/>
              </w:rPr>
              <w:t xml:space="preserve">. BỘ TRƯỞNG </w:t>
            </w:r>
          </w:p>
          <w:p w:rsidR="0082295F" w:rsidRPr="0082295F" w:rsidRDefault="0082295F" w:rsidP="00FA0A6A">
            <w:pPr>
              <w:jc w:val="center"/>
              <w:rPr>
                <w:b/>
                <w:sz w:val="26"/>
              </w:rPr>
            </w:pPr>
            <w:r w:rsidRPr="0082295F">
              <w:rPr>
                <w:b/>
                <w:sz w:val="26"/>
              </w:rPr>
              <w:t>KT. CỤC</w:t>
            </w:r>
            <w:r w:rsidR="002E6052" w:rsidRPr="0082295F">
              <w:rPr>
                <w:b/>
                <w:sz w:val="26"/>
              </w:rPr>
              <w:t xml:space="preserve"> TRƯỞNG</w:t>
            </w:r>
            <w:r w:rsidRPr="0082295F">
              <w:rPr>
                <w:b/>
                <w:sz w:val="26"/>
              </w:rPr>
              <w:t xml:space="preserve"> </w:t>
            </w:r>
          </w:p>
          <w:p w:rsidR="002E6052" w:rsidRPr="0082295F" w:rsidRDefault="0082295F" w:rsidP="00FA0A6A">
            <w:pPr>
              <w:jc w:val="center"/>
              <w:rPr>
                <w:b/>
                <w:sz w:val="26"/>
              </w:rPr>
            </w:pPr>
            <w:r w:rsidRPr="0082295F">
              <w:rPr>
                <w:b/>
                <w:sz w:val="26"/>
              </w:rPr>
              <w:t>CỤC QUẢN LÝ HOẠT ĐỘNG XÂY DỰNG</w:t>
            </w:r>
          </w:p>
          <w:p w:rsidR="0082295F" w:rsidRPr="0082295F" w:rsidRDefault="0082295F" w:rsidP="00FA0A6A">
            <w:pPr>
              <w:jc w:val="center"/>
              <w:rPr>
                <w:b/>
                <w:sz w:val="26"/>
              </w:rPr>
            </w:pPr>
            <w:r w:rsidRPr="0082295F">
              <w:rPr>
                <w:b/>
                <w:sz w:val="26"/>
              </w:rPr>
              <w:t>PHÓ CỤC TRƯỞNG</w:t>
            </w:r>
          </w:p>
          <w:p w:rsidR="002E6052" w:rsidRPr="000613B8" w:rsidRDefault="002E6052" w:rsidP="00FA0A6A">
            <w:pPr>
              <w:jc w:val="center"/>
              <w:rPr>
                <w:b/>
              </w:rPr>
            </w:pPr>
          </w:p>
          <w:p w:rsidR="002E6052" w:rsidRPr="000613B8" w:rsidRDefault="002E6052" w:rsidP="00FA0A6A">
            <w:pPr>
              <w:jc w:val="center"/>
              <w:rPr>
                <w:b/>
              </w:rPr>
            </w:pPr>
          </w:p>
          <w:p w:rsidR="003D63CF" w:rsidRPr="006B7A2E" w:rsidRDefault="003D63CF" w:rsidP="006B7A2E">
            <w:pPr>
              <w:spacing w:before="120" w:after="120"/>
              <w:jc w:val="center"/>
            </w:pPr>
            <w:bookmarkStart w:id="0" w:name="_GoBack"/>
            <w:bookmarkEnd w:id="0"/>
            <w:r w:rsidRPr="006B7A2E">
              <w:t>(đã ký)</w:t>
            </w:r>
          </w:p>
          <w:p w:rsidR="002E6052" w:rsidRPr="000613B8" w:rsidRDefault="002E6052" w:rsidP="00FA0A6A">
            <w:pPr>
              <w:jc w:val="center"/>
              <w:rPr>
                <w:b/>
              </w:rPr>
            </w:pPr>
          </w:p>
          <w:p w:rsidR="002E6052" w:rsidRPr="000613B8" w:rsidRDefault="002E6052" w:rsidP="00FA0A6A">
            <w:pPr>
              <w:jc w:val="center"/>
              <w:rPr>
                <w:b/>
              </w:rPr>
            </w:pPr>
          </w:p>
          <w:p w:rsidR="002E6052" w:rsidRPr="000613B8" w:rsidRDefault="0082295F" w:rsidP="00FA0A6A">
            <w:pPr>
              <w:jc w:val="center"/>
              <w:rPr>
                <w:b/>
              </w:rPr>
            </w:pPr>
            <w:r>
              <w:rPr>
                <w:b/>
              </w:rPr>
              <w:t>Bùi Văn Dưỡng</w:t>
            </w:r>
          </w:p>
        </w:tc>
      </w:tr>
    </w:tbl>
    <w:p w:rsidR="002E6052" w:rsidRPr="000613B8" w:rsidRDefault="002E6052" w:rsidP="000613B8">
      <w:r w:rsidRPr="000613B8">
        <w:t xml:space="preserve"> </w:t>
      </w:r>
    </w:p>
    <w:sectPr w:rsidR="002E6052" w:rsidRPr="000613B8" w:rsidSect="001600E1">
      <w:pgSz w:w="11907" w:h="16840" w:code="9"/>
      <w:pgMar w:top="1134" w:right="1418"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52"/>
    <w:rsid w:val="000F3ED1"/>
    <w:rsid w:val="001600E1"/>
    <w:rsid w:val="00174765"/>
    <w:rsid w:val="001B30F1"/>
    <w:rsid w:val="0023564C"/>
    <w:rsid w:val="002E54B5"/>
    <w:rsid w:val="002E6052"/>
    <w:rsid w:val="003D63CF"/>
    <w:rsid w:val="00436240"/>
    <w:rsid w:val="00463E2F"/>
    <w:rsid w:val="004D1EEC"/>
    <w:rsid w:val="0060437E"/>
    <w:rsid w:val="00674FD7"/>
    <w:rsid w:val="00686C4F"/>
    <w:rsid w:val="006E6FF3"/>
    <w:rsid w:val="00701756"/>
    <w:rsid w:val="007852E2"/>
    <w:rsid w:val="0082295F"/>
    <w:rsid w:val="008325EF"/>
    <w:rsid w:val="009159EF"/>
    <w:rsid w:val="00986F95"/>
    <w:rsid w:val="00AA3862"/>
    <w:rsid w:val="00AC3F6B"/>
    <w:rsid w:val="00AD7805"/>
    <w:rsid w:val="00B00537"/>
    <w:rsid w:val="00B36757"/>
    <w:rsid w:val="00B4198F"/>
    <w:rsid w:val="00BB2076"/>
    <w:rsid w:val="00BE2E89"/>
    <w:rsid w:val="00CC77AF"/>
    <w:rsid w:val="00CF73D8"/>
    <w:rsid w:val="00D83D64"/>
    <w:rsid w:val="00E651AF"/>
    <w:rsid w:val="00F1219D"/>
    <w:rsid w:val="00F5222B"/>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2E6052"/>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052"/>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2E6052"/>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052"/>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dcterms:created xsi:type="dcterms:W3CDTF">2017-12-13T02:29:00Z</dcterms:created>
  <dcterms:modified xsi:type="dcterms:W3CDTF">2017-12-13T02:40:00Z</dcterms:modified>
</cp:coreProperties>
</file>