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5" w:type="pct"/>
        <w:jc w:val="center"/>
        <w:tblInd w:w="-176" w:type="dxa"/>
        <w:tblLook w:val="00A0" w:firstRow="1" w:lastRow="0" w:firstColumn="1" w:lastColumn="0" w:noHBand="0" w:noVBand="0"/>
      </w:tblPr>
      <w:tblGrid>
        <w:gridCol w:w="3740"/>
        <w:gridCol w:w="5666"/>
      </w:tblGrid>
      <w:tr w:rsidR="000A37C7" w:rsidRPr="008B687B" w:rsidTr="00A70A14">
        <w:trPr>
          <w:jc w:val="center"/>
        </w:trPr>
        <w:tc>
          <w:tcPr>
            <w:tcW w:w="1988" w:type="pct"/>
          </w:tcPr>
          <w:p w:rsidR="000A37C7" w:rsidRPr="005D342C" w:rsidRDefault="000A37C7" w:rsidP="00E00405">
            <w:pPr>
              <w:tabs>
                <w:tab w:val="left" w:pos="51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D342C">
              <w:rPr>
                <w:b/>
                <w:bCs/>
                <w:sz w:val="26"/>
                <w:szCs w:val="26"/>
              </w:rPr>
              <w:t>BỘ XÂY DỰNG</w:t>
            </w:r>
          </w:p>
          <w:p w:rsidR="000A37C7" w:rsidRPr="001A7218" w:rsidRDefault="007D0B4A" w:rsidP="00E10939">
            <w:pPr>
              <w:tabs>
                <w:tab w:val="left" w:pos="510"/>
              </w:tabs>
              <w:spacing w:before="480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285C255" wp14:editId="107D3D87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42545</wp:posOffset>
                      </wp:positionV>
                      <wp:extent cx="8191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3.35pt" to="120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m9Gw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"/>
                  </w:pict>
                </mc:Fallback>
              </mc:AlternateContent>
            </w:r>
            <w:r w:rsidR="000A37C7" w:rsidRPr="001A7218">
              <w:rPr>
                <w:sz w:val="26"/>
                <w:szCs w:val="26"/>
              </w:rPr>
              <w:t>Số</w:t>
            </w:r>
            <w:r w:rsidR="00663ED1">
              <w:rPr>
                <w:sz w:val="26"/>
                <w:szCs w:val="26"/>
              </w:rPr>
              <w:t>: 2476</w:t>
            </w:r>
            <w:r w:rsidR="000A37C7" w:rsidRPr="001A7218">
              <w:rPr>
                <w:sz w:val="26"/>
                <w:szCs w:val="26"/>
              </w:rPr>
              <w:t>/BXD</w:t>
            </w:r>
            <w:r w:rsidR="000A37C7">
              <w:rPr>
                <w:sz w:val="26"/>
                <w:szCs w:val="26"/>
              </w:rPr>
              <w:t>-V</w:t>
            </w:r>
            <w:r w:rsidR="00076623">
              <w:rPr>
                <w:sz w:val="26"/>
                <w:szCs w:val="26"/>
              </w:rPr>
              <w:t>LXD</w:t>
            </w:r>
          </w:p>
          <w:p w:rsidR="000A37C7" w:rsidRPr="00800641" w:rsidRDefault="000A37C7" w:rsidP="00A70A14">
            <w:pPr>
              <w:tabs>
                <w:tab w:val="left" w:pos="510"/>
              </w:tabs>
              <w:spacing w:before="120"/>
              <w:jc w:val="center"/>
              <w:rPr>
                <w:b/>
                <w:bCs/>
                <w:spacing w:val="-4"/>
              </w:rPr>
            </w:pPr>
            <w:r w:rsidRPr="00800641">
              <w:rPr>
                <w:spacing w:val="-4"/>
              </w:rPr>
              <w:t xml:space="preserve">V/v </w:t>
            </w:r>
            <w:r w:rsidR="00A70A14">
              <w:rPr>
                <w:spacing w:val="-4"/>
              </w:rPr>
              <w:t>bổ sung trạm nghiền xi măng xỉ lò cao bền sunfat vào Quy hoạch phát triển công nghiệp xi măng Việt Nam</w:t>
            </w:r>
          </w:p>
        </w:tc>
        <w:tc>
          <w:tcPr>
            <w:tcW w:w="3012" w:type="pct"/>
          </w:tcPr>
          <w:p w:rsidR="000A37C7" w:rsidRPr="00254158" w:rsidRDefault="000A37C7" w:rsidP="00E00405">
            <w:pPr>
              <w:tabs>
                <w:tab w:val="left" w:pos="51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54158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54158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0A37C7" w:rsidRPr="00254158" w:rsidRDefault="000A37C7" w:rsidP="0061704A">
            <w:pPr>
              <w:tabs>
                <w:tab w:val="left" w:pos="510"/>
              </w:tabs>
              <w:jc w:val="center"/>
              <w:rPr>
                <w:b/>
                <w:bCs/>
                <w:szCs w:val="28"/>
              </w:rPr>
            </w:pPr>
            <w:r w:rsidRPr="00254158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0A37C7" w:rsidRPr="00254158" w:rsidRDefault="007D0B4A" w:rsidP="00663ED1">
            <w:pPr>
              <w:tabs>
                <w:tab w:val="left" w:pos="510"/>
              </w:tabs>
              <w:spacing w:before="120"/>
              <w:jc w:val="center"/>
              <w:rPr>
                <w:bCs/>
                <w:i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FAE2741" wp14:editId="4724BFD4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10795</wp:posOffset>
                      </wp:positionV>
                      <wp:extent cx="2125345" cy="0"/>
                      <wp:effectExtent l="0" t="0" r="2730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5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3pt,.85pt" to="220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Gx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aZPuV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"/>
                  </w:pict>
                </mc:Fallback>
              </mc:AlternateContent>
            </w:r>
            <w:r w:rsidR="000A37C7" w:rsidRPr="00254158">
              <w:rPr>
                <w:bCs/>
                <w:i/>
                <w:sz w:val="28"/>
                <w:szCs w:val="28"/>
              </w:rPr>
              <w:t>Hà Nội,</w:t>
            </w:r>
            <w:r w:rsidR="00800641">
              <w:rPr>
                <w:bCs/>
                <w:i/>
                <w:sz w:val="28"/>
                <w:szCs w:val="28"/>
              </w:rPr>
              <w:t xml:space="preserve"> </w:t>
            </w:r>
            <w:r w:rsidR="000A37C7" w:rsidRPr="00254158">
              <w:rPr>
                <w:bCs/>
                <w:i/>
                <w:sz w:val="28"/>
                <w:szCs w:val="28"/>
              </w:rPr>
              <w:t xml:space="preserve">ngày </w:t>
            </w:r>
            <w:r w:rsidR="00663ED1">
              <w:rPr>
                <w:bCs/>
                <w:i/>
                <w:sz w:val="28"/>
                <w:szCs w:val="28"/>
              </w:rPr>
              <w:t xml:space="preserve">16 </w:t>
            </w:r>
            <w:r w:rsidR="000A37C7">
              <w:rPr>
                <w:bCs/>
                <w:i/>
                <w:sz w:val="28"/>
                <w:szCs w:val="28"/>
              </w:rPr>
              <w:t xml:space="preserve">tháng </w:t>
            </w:r>
            <w:r w:rsidR="00A70A14">
              <w:rPr>
                <w:bCs/>
                <w:i/>
                <w:sz w:val="28"/>
                <w:szCs w:val="28"/>
              </w:rPr>
              <w:t>11</w:t>
            </w:r>
            <w:r w:rsidR="000A37C7" w:rsidRPr="00254158">
              <w:rPr>
                <w:bCs/>
                <w:i/>
                <w:sz w:val="28"/>
                <w:szCs w:val="28"/>
              </w:rPr>
              <w:t xml:space="preserve"> năm 201</w:t>
            </w:r>
            <w:r w:rsidR="00A70A14">
              <w:rPr>
                <w:bCs/>
                <w:i/>
                <w:sz w:val="28"/>
                <w:szCs w:val="28"/>
              </w:rPr>
              <w:t>7</w:t>
            </w:r>
          </w:p>
        </w:tc>
      </w:tr>
    </w:tbl>
    <w:p w:rsidR="00FA3DAE" w:rsidRDefault="000A37C7" w:rsidP="00EE0E81">
      <w:pPr>
        <w:pStyle w:val="BodyText2"/>
        <w:spacing w:before="600"/>
        <w:ind w:firstLine="720"/>
        <w:jc w:val="center"/>
        <w:rPr>
          <w:rFonts w:ascii="Times New Roman" w:hAnsi="Times New Roman"/>
          <w:b w:val="0"/>
          <w:szCs w:val="28"/>
          <w:lang w:val="nl-NL"/>
        </w:rPr>
      </w:pPr>
      <w:r w:rsidRPr="00FA3DAE">
        <w:rPr>
          <w:rFonts w:ascii="Times New Roman" w:hAnsi="Times New Roman"/>
          <w:b w:val="0"/>
          <w:szCs w:val="28"/>
        </w:rPr>
        <w:t>Kính gửi:</w:t>
      </w:r>
      <w:r>
        <w:rPr>
          <w:szCs w:val="28"/>
        </w:rPr>
        <w:t xml:space="preserve"> </w:t>
      </w:r>
      <w:r w:rsidR="009D2DC5">
        <w:rPr>
          <w:szCs w:val="28"/>
        </w:rPr>
        <w:t xml:space="preserve"> </w:t>
      </w:r>
      <w:r w:rsidR="00FA3DAE">
        <w:rPr>
          <w:rFonts w:ascii="Times New Roman" w:hAnsi="Times New Roman"/>
          <w:b w:val="0"/>
          <w:szCs w:val="28"/>
          <w:lang w:val="nl-NL"/>
        </w:rPr>
        <w:t xml:space="preserve">Công ty </w:t>
      </w:r>
      <w:r w:rsidR="00922B5F">
        <w:rPr>
          <w:rFonts w:ascii="Times New Roman" w:hAnsi="Times New Roman"/>
          <w:b w:val="0"/>
          <w:szCs w:val="28"/>
          <w:lang w:val="nl-NL"/>
        </w:rPr>
        <w:t>cổ phần tập đoàn Hòa Phát</w:t>
      </w:r>
      <w:r w:rsidR="00FA3DAE">
        <w:rPr>
          <w:rFonts w:ascii="Times New Roman" w:hAnsi="Times New Roman"/>
          <w:b w:val="0"/>
          <w:szCs w:val="28"/>
          <w:lang w:val="nl-NL"/>
        </w:rPr>
        <w:t xml:space="preserve"> </w:t>
      </w:r>
    </w:p>
    <w:p w:rsidR="0049626F" w:rsidRDefault="00DA051E" w:rsidP="00932590">
      <w:pPr>
        <w:pStyle w:val="BodyText2"/>
        <w:spacing w:before="360" w:after="0"/>
        <w:ind w:firstLine="720"/>
        <w:rPr>
          <w:rFonts w:ascii="Times New Roman" w:hAnsi="Times New Roman"/>
          <w:b w:val="0"/>
          <w:szCs w:val="28"/>
          <w:lang w:val="nl-NL"/>
        </w:rPr>
      </w:pPr>
      <w:r>
        <w:rPr>
          <w:rFonts w:ascii="Times New Roman" w:hAnsi="Times New Roman"/>
          <w:b w:val="0"/>
          <w:szCs w:val="28"/>
          <w:lang w:val="nl-NL"/>
        </w:rPr>
        <w:t xml:space="preserve">Bộ Xây dựng nhận được </w:t>
      </w:r>
      <w:r w:rsidR="00800641" w:rsidRPr="00800641">
        <w:rPr>
          <w:rFonts w:ascii="Times New Roman" w:hAnsi="Times New Roman"/>
          <w:b w:val="0"/>
          <w:szCs w:val="28"/>
          <w:lang w:val="nl-NL"/>
        </w:rPr>
        <w:t>văn</w:t>
      </w:r>
      <w:r w:rsidR="00F236E3">
        <w:rPr>
          <w:rFonts w:ascii="Times New Roman" w:hAnsi="Times New Roman"/>
          <w:b w:val="0"/>
          <w:szCs w:val="28"/>
          <w:lang w:val="nl-NL"/>
        </w:rPr>
        <w:t xml:space="preserve"> bản</w:t>
      </w:r>
      <w:r w:rsidR="00800641" w:rsidRPr="00800641">
        <w:rPr>
          <w:rFonts w:ascii="Times New Roman" w:hAnsi="Times New Roman"/>
          <w:b w:val="0"/>
          <w:szCs w:val="28"/>
          <w:lang w:val="nl-NL"/>
        </w:rPr>
        <w:t xml:space="preserve"> số </w:t>
      </w:r>
      <w:r w:rsidR="00E26FF1">
        <w:rPr>
          <w:rFonts w:ascii="Times New Roman" w:hAnsi="Times New Roman"/>
          <w:b w:val="0"/>
          <w:szCs w:val="28"/>
          <w:lang w:val="nl-NL"/>
        </w:rPr>
        <w:t>10</w:t>
      </w:r>
      <w:r w:rsidR="009D2DC5">
        <w:rPr>
          <w:rFonts w:ascii="Times New Roman" w:hAnsi="Times New Roman"/>
          <w:b w:val="0"/>
          <w:szCs w:val="28"/>
          <w:lang w:val="nl-NL"/>
        </w:rPr>
        <w:t>6</w:t>
      </w:r>
      <w:r w:rsidR="00800641" w:rsidRPr="00800641">
        <w:rPr>
          <w:rFonts w:ascii="Times New Roman" w:hAnsi="Times New Roman"/>
          <w:b w:val="0"/>
          <w:szCs w:val="28"/>
          <w:lang w:val="nl-NL"/>
        </w:rPr>
        <w:t>/</w:t>
      </w:r>
      <w:r w:rsidR="00E26FF1">
        <w:rPr>
          <w:rFonts w:ascii="Times New Roman" w:hAnsi="Times New Roman"/>
          <w:b w:val="0"/>
          <w:szCs w:val="28"/>
          <w:lang w:val="nl-NL"/>
        </w:rPr>
        <w:t>C</w:t>
      </w:r>
      <w:r w:rsidR="009D2DC5">
        <w:rPr>
          <w:rFonts w:ascii="Times New Roman" w:hAnsi="Times New Roman"/>
          <w:b w:val="0"/>
          <w:szCs w:val="28"/>
          <w:lang w:val="nl-NL"/>
        </w:rPr>
        <w:t>V</w:t>
      </w:r>
      <w:r w:rsidR="00800641" w:rsidRPr="00800641">
        <w:rPr>
          <w:rFonts w:ascii="Times New Roman" w:hAnsi="Times New Roman"/>
          <w:b w:val="0"/>
          <w:szCs w:val="28"/>
          <w:lang w:val="nl-NL"/>
        </w:rPr>
        <w:t>-</w:t>
      </w:r>
      <w:r w:rsidR="009D2DC5">
        <w:rPr>
          <w:rFonts w:ascii="Times New Roman" w:hAnsi="Times New Roman"/>
          <w:b w:val="0"/>
          <w:szCs w:val="28"/>
          <w:lang w:val="nl-NL"/>
        </w:rPr>
        <w:t>TĐH</w:t>
      </w:r>
      <w:r w:rsidR="00E26FF1">
        <w:rPr>
          <w:rFonts w:ascii="Times New Roman" w:hAnsi="Times New Roman"/>
          <w:b w:val="0"/>
          <w:szCs w:val="28"/>
          <w:lang w:val="nl-NL"/>
        </w:rPr>
        <w:t>P</w:t>
      </w:r>
      <w:r w:rsidR="00800641" w:rsidRPr="00800641">
        <w:rPr>
          <w:rFonts w:ascii="Times New Roman" w:hAnsi="Times New Roman"/>
          <w:b w:val="0"/>
          <w:szCs w:val="28"/>
          <w:lang w:val="nl-NL"/>
        </w:rPr>
        <w:t xml:space="preserve"> ngày </w:t>
      </w:r>
      <w:r w:rsidR="00E26FF1">
        <w:rPr>
          <w:rFonts w:ascii="Times New Roman" w:hAnsi="Times New Roman"/>
          <w:b w:val="0"/>
          <w:szCs w:val="28"/>
          <w:lang w:val="nl-NL"/>
        </w:rPr>
        <w:t>3</w:t>
      </w:r>
      <w:r w:rsidR="009D2DC5">
        <w:rPr>
          <w:rFonts w:ascii="Times New Roman" w:hAnsi="Times New Roman"/>
          <w:b w:val="0"/>
          <w:szCs w:val="28"/>
          <w:lang w:val="nl-NL"/>
        </w:rPr>
        <w:t xml:space="preserve">0/10/2017 của Công ty cổ phần tập đoàn Hòa Phát về việc đề nghị </w:t>
      </w:r>
      <w:r w:rsidR="009D2DC5" w:rsidRPr="009D2DC5">
        <w:rPr>
          <w:rFonts w:ascii="Times New Roman" w:hAnsi="Times New Roman"/>
          <w:b w:val="0"/>
          <w:szCs w:val="28"/>
          <w:lang w:val="nl-NL"/>
        </w:rPr>
        <w:t>bổ sung trạm nghiền xi măng xỉ lò cao bền sunfat vào Quy hoạch phát triển công nghiệp xi măng Việt Nam</w:t>
      </w:r>
      <w:r w:rsidR="0049626F">
        <w:rPr>
          <w:rFonts w:ascii="Times New Roman" w:hAnsi="Times New Roman"/>
          <w:b w:val="0"/>
          <w:szCs w:val="28"/>
          <w:lang w:val="nl-NL"/>
        </w:rPr>
        <w:t>, Bộ Xây dựng có ý kiến như sau:</w:t>
      </w:r>
    </w:p>
    <w:p w:rsidR="00D05A77" w:rsidRPr="00D05A77" w:rsidRDefault="00D05A77" w:rsidP="00D05A77">
      <w:pPr>
        <w:pStyle w:val="BodyText2"/>
        <w:keepNext/>
        <w:widowControl w:val="0"/>
        <w:spacing w:before="120"/>
        <w:ind w:right="-40" w:firstLine="720"/>
        <w:rPr>
          <w:rFonts w:ascii="Times New Roman" w:hAnsi="Times New Roman"/>
          <w:b w:val="0"/>
        </w:rPr>
      </w:pPr>
      <w:r w:rsidRPr="00D05A77">
        <w:rPr>
          <w:rFonts w:ascii="Times New Roman" w:hAnsi="Times New Roman"/>
          <w:b w:val="0"/>
        </w:rPr>
        <w:t xml:space="preserve">Theo Quy hoạch phát triển công nghiệp xi măng Việt Nam giai đoạn 2011-2020 và định hướng đến năm 2030 đã được Thủ tướng Chính phủ phê duyệt tại Quyết định số 1488/QĐ-TTg ngày 29/8/2011 (sau đây gọi là Quy hoạch 1488) tại Mục a, Khoản 1, Điều 1 quy định </w:t>
      </w:r>
      <w:r w:rsidRPr="00D05A77">
        <w:rPr>
          <w:rFonts w:ascii="Times New Roman" w:hAnsi="Times New Roman"/>
          <w:b w:val="0"/>
          <w:i/>
        </w:rPr>
        <w:t>“chỉ được phép đầu tư xây dựng công đoạn nghiền xi măng có công suất tương ứng với năng suất lò nung clanhke; không đầu tư các trạm nghiền độc lập riêng lẻ”.</w:t>
      </w:r>
    </w:p>
    <w:p w:rsidR="00D05A77" w:rsidRPr="00D05A77" w:rsidRDefault="00D05A77" w:rsidP="00D05A77">
      <w:pPr>
        <w:pStyle w:val="BodyText2"/>
        <w:keepNext/>
        <w:widowControl w:val="0"/>
        <w:spacing w:before="120"/>
        <w:ind w:right="-40" w:firstLine="720"/>
        <w:rPr>
          <w:rFonts w:ascii="Times New Roman" w:hAnsi="Times New Roman"/>
          <w:b w:val="0"/>
        </w:rPr>
      </w:pPr>
      <w:r w:rsidRPr="00D05A77">
        <w:rPr>
          <w:rFonts w:ascii="Times New Roman" w:hAnsi="Times New Roman"/>
          <w:b w:val="0"/>
        </w:rPr>
        <w:t xml:space="preserve">Hiện nay, </w:t>
      </w:r>
      <w:r>
        <w:rPr>
          <w:rFonts w:ascii="Times New Roman" w:hAnsi="Times New Roman"/>
          <w:b w:val="0"/>
          <w:szCs w:val="28"/>
          <w:lang w:val="nl-NL"/>
        </w:rPr>
        <w:t xml:space="preserve">Công ty cổ phần tập đoàn Hòa Phát không có dự án nhà máy sản </w:t>
      </w:r>
      <w:r w:rsidR="00837C2F">
        <w:rPr>
          <w:rFonts w:ascii="Times New Roman" w:hAnsi="Times New Roman"/>
          <w:b w:val="0"/>
          <w:szCs w:val="28"/>
          <w:lang w:val="nl-NL"/>
        </w:rPr>
        <w:t>x</w:t>
      </w:r>
      <w:r>
        <w:rPr>
          <w:rFonts w:ascii="Times New Roman" w:hAnsi="Times New Roman"/>
          <w:b w:val="0"/>
          <w:szCs w:val="28"/>
          <w:lang w:val="nl-NL"/>
        </w:rPr>
        <w:t>uất clanhke</w:t>
      </w:r>
      <w:r w:rsidRPr="00D05A77">
        <w:rPr>
          <w:rFonts w:ascii="Times New Roman" w:hAnsi="Times New Roman"/>
          <w:b w:val="0"/>
        </w:rPr>
        <w:t xml:space="preserve">. Do vậy, </w:t>
      </w:r>
      <w:r>
        <w:rPr>
          <w:rFonts w:ascii="Times New Roman" w:hAnsi="Times New Roman"/>
          <w:b w:val="0"/>
        </w:rPr>
        <w:t xml:space="preserve">việc </w:t>
      </w:r>
      <w:r w:rsidRPr="009D2DC5">
        <w:rPr>
          <w:rFonts w:ascii="Times New Roman" w:hAnsi="Times New Roman"/>
          <w:b w:val="0"/>
          <w:szCs w:val="28"/>
          <w:lang w:val="nl-NL"/>
        </w:rPr>
        <w:t>bổ sung trạm nghiền xi măng xỉ lò cao bền sunfat vào Quy hoạch phát triển công nghiệp xi măng Việt Nam</w:t>
      </w:r>
      <w:r>
        <w:rPr>
          <w:rFonts w:ascii="Times New Roman" w:hAnsi="Times New Roman"/>
          <w:b w:val="0"/>
          <w:szCs w:val="28"/>
          <w:lang w:val="nl-NL"/>
        </w:rPr>
        <w:t xml:space="preserve"> </w:t>
      </w:r>
      <w:r w:rsidRPr="00D05A77">
        <w:rPr>
          <w:rFonts w:ascii="Times New Roman" w:hAnsi="Times New Roman"/>
          <w:b w:val="0"/>
        </w:rPr>
        <w:t>là không phù hợp với nội dung về đầu tư của Quy hoạch 1488 nêu trên.</w:t>
      </w:r>
    </w:p>
    <w:p w:rsidR="002236DB" w:rsidRDefault="002236DB" w:rsidP="002236DB">
      <w:pPr>
        <w:keepNext/>
        <w:widowControl w:val="0"/>
        <w:spacing w:before="120" w:after="120"/>
        <w:ind w:right="-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Bộ Xây dựng yêu cầu </w:t>
      </w:r>
      <w:r w:rsidRPr="002236DB">
        <w:rPr>
          <w:sz w:val="28"/>
          <w:szCs w:val="28"/>
        </w:rPr>
        <w:t xml:space="preserve">Công ty cổ phần tập đoàn Hòa Phát </w:t>
      </w:r>
      <w:r>
        <w:rPr>
          <w:sz w:val="28"/>
          <w:szCs w:val="28"/>
        </w:rPr>
        <w:t>thực hiện theo quy định./.</w:t>
      </w:r>
    </w:p>
    <w:p w:rsidR="00F913A2" w:rsidRDefault="00F913A2" w:rsidP="00F913A2">
      <w:pPr>
        <w:pStyle w:val="BodyText2"/>
        <w:keepNext/>
        <w:widowControl w:val="0"/>
        <w:spacing w:before="120" w:after="0"/>
        <w:ind w:right="-720" w:firstLine="720"/>
        <w:rPr>
          <w:rFonts w:ascii="Times New Roman" w:hAnsi="Times New Roman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4968"/>
        <w:gridCol w:w="3929"/>
      </w:tblGrid>
      <w:tr w:rsidR="00F913A2" w:rsidRPr="00256569" w:rsidTr="00B10DC7">
        <w:tc>
          <w:tcPr>
            <w:tcW w:w="4968" w:type="dxa"/>
          </w:tcPr>
          <w:p w:rsidR="00F913A2" w:rsidRPr="00D078EF" w:rsidRDefault="00F913A2" w:rsidP="00B10DC7">
            <w:pPr>
              <w:keepNext/>
              <w:widowControl w:val="0"/>
              <w:jc w:val="both"/>
              <w:rPr>
                <w:b/>
                <w:i/>
                <w:lang w:val="sv-SE"/>
              </w:rPr>
            </w:pPr>
            <w:r w:rsidRPr="00D078EF">
              <w:rPr>
                <w:b/>
                <w:i/>
                <w:lang w:val="sv-SE"/>
              </w:rPr>
              <w:t>Nơi nhận:</w:t>
            </w:r>
          </w:p>
          <w:p w:rsidR="00F913A2" w:rsidRPr="00EE4B6D" w:rsidRDefault="00F913A2" w:rsidP="00B10DC7">
            <w:pPr>
              <w:keepNext/>
              <w:widowControl w:val="0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 </w:t>
            </w:r>
            <w:r w:rsidRPr="00EE4B6D">
              <w:rPr>
                <w:sz w:val="22"/>
                <w:szCs w:val="22"/>
                <w:lang w:val="sv-SE"/>
              </w:rPr>
              <w:t>- Như trên;</w:t>
            </w:r>
          </w:p>
          <w:p w:rsidR="00F913A2" w:rsidRPr="00256569" w:rsidRDefault="00F913A2" w:rsidP="00B10DC7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val="sv-SE"/>
              </w:rPr>
              <w:t xml:space="preserve"> </w:t>
            </w:r>
            <w:r w:rsidRPr="00256569">
              <w:rPr>
                <w:sz w:val="22"/>
                <w:szCs w:val="22"/>
              </w:rPr>
              <w:t>- Lưu: VT, VLXD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29" w:type="dxa"/>
          </w:tcPr>
          <w:p w:rsidR="00F913A2" w:rsidRPr="001564DB" w:rsidRDefault="00F913A2" w:rsidP="00B10DC7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 w:rsidRPr="001564DB">
              <w:rPr>
                <w:b/>
                <w:sz w:val="26"/>
                <w:szCs w:val="26"/>
              </w:rPr>
              <w:t>KT. BỘ TRƯỞNG</w:t>
            </w:r>
          </w:p>
          <w:p w:rsidR="00F913A2" w:rsidRPr="001564DB" w:rsidRDefault="00F913A2" w:rsidP="00B10DC7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 w:rsidRPr="001564DB">
              <w:rPr>
                <w:b/>
                <w:sz w:val="26"/>
                <w:szCs w:val="26"/>
              </w:rPr>
              <w:t>THỨ TRƯỞNG</w:t>
            </w:r>
          </w:p>
          <w:p w:rsidR="00F913A2" w:rsidRPr="00256569" w:rsidRDefault="00F913A2" w:rsidP="00B10DC7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F913A2" w:rsidRPr="00256569" w:rsidRDefault="00F913A2" w:rsidP="00B10DC7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  <w:p w:rsidR="00A3508E" w:rsidRPr="00A3508E" w:rsidRDefault="00A3508E" w:rsidP="006B7A2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3508E">
              <w:rPr>
                <w:sz w:val="28"/>
                <w:szCs w:val="28"/>
              </w:rPr>
              <w:t>(đã ký)</w:t>
            </w:r>
          </w:p>
          <w:p w:rsidR="00A3508E" w:rsidRDefault="00A3508E" w:rsidP="00B10DC7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F913A2" w:rsidRDefault="00F913A2" w:rsidP="00B10DC7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F913A2" w:rsidRPr="00630C8C" w:rsidRDefault="00F913A2" w:rsidP="00B10DC7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Bùi Phạm Khánh</w:t>
            </w:r>
          </w:p>
        </w:tc>
      </w:tr>
    </w:tbl>
    <w:p w:rsidR="00C122F0" w:rsidRDefault="00C122F0" w:rsidP="002F2FB6">
      <w:pPr>
        <w:pStyle w:val="BodyText2"/>
        <w:spacing w:before="120" w:after="0"/>
        <w:ind w:firstLine="720"/>
        <w:rPr>
          <w:rFonts w:ascii="Times New Roman" w:hAnsi="Times New Roman"/>
          <w:b w:val="0"/>
          <w:szCs w:val="28"/>
          <w:lang w:val="nl-NL"/>
        </w:rPr>
      </w:pPr>
    </w:p>
    <w:p w:rsidR="00F913A2" w:rsidRDefault="00F913A2" w:rsidP="002F2FB6">
      <w:pPr>
        <w:pStyle w:val="BodyText2"/>
        <w:spacing w:before="120" w:after="0"/>
        <w:ind w:firstLine="720"/>
        <w:rPr>
          <w:rFonts w:ascii="Times New Roman" w:hAnsi="Times New Roman"/>
          <w:b w:val="0"/>
          <w:szCs w:val="28"/>
          <w:lang w:val="nl-NL"/>
        </w:rPr>
      </w:pPr>
    </w:p>
    <w:p w:rsidR="00C122F0" w:rsidRDefault="00C122F0" w:rsidP="002F2FB6">
      <w:pPr>
        <w:pStyle w:val="BodyText2"/>
        <w:spacing w:before="120" w:after="0"/>
        <w:ind w:firstLine="720"/>
        <w:rPr>
          <w:rFonts w:ascii="Times New Roman" w:hAnsi="Times New Roman"/>
          <w:b w:val="0"/>
          <w:szCs w:val="28"/>
          <w:lang w:val="nl-NL"/>
        </w:rPr>
      </w:pPr>
    </w:p>
    <w:p w:rsidR="000A37C7" w:rsidRDefault="000A37C7" w:rsidP="00784FEF">
      <w:pPr>
        <w:pStyle w:val="BodyText2"/>
        <w:spacing w:before="120" w:after="0"/>
        <w:ind w:firstLine="720"/>
        <w:rPr>
          <w:rFonts w:ascii="Times New Roman" w:hAnsi="Times New Roman"/>
          <w:b w:val="0"/>
          <w:szCs w:val="28"/>
          <w:lang w:val="nl-NL"/>
        </w:rPr>
      </w:pPr>
    </w:p>
    <w:p w:rsidR="000A37C7" w:rsidRPr="00AE4724" w:rsidRDefault="000A37C7" w:rsidP="006C28F5">
      <w:pPr>
        <w:pStyle w:val="BodyText2"/>
        <w:spacing w:after="0" w:line="228" w:lineRule="auto"/>
        <w:rPr>
          <w:sz w:val="22"/>
          <w:szCs w:val="22"/>
        </w:rPr>
      </w:pPr>
    </w:p>
    <w:sectPr w:rsidR="000A37C7" w:rsidRPr="00AE4724" w:rsidSect="00EE0E81">
      <w:pgSz w:w="11907" w:h="16840" w:code="9"/>
      <w:pgMar w:top="1191" w:right="1134" w:bottom="1134" w:left="175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A5" w:rsidRDefault="009D40A5" w:rsidP="00E8349E">
      <w:r>
        <w:separator/>
      </w:r>
    </w:p>
  </w:endnote>
  <w:endnote w:type="continuationSeparator" w:id="0">
    <w:p w:rsidR="009D40A5" w:rsidRDefault="009D40A5" w:rsidP="00E8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A5" w:rsidRDefault="009D40A5" w:rsidP="00E8349E">
      <w:r>
        <w:separator/>
      </w:r>
    </w:p>
  </w:footnote>
  <w:footnote w:type="continuationSeparator" w:id="0">
    <w:p w:rsidR="009D40A5" w:rsidRDefault="009D40A5" w:rsidP="00E83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8C"/>
    <w:rsid w:val="00076623"/>
    <w:rsid w:val="000804D6"/>
    <w:rsid w:val="000A1B83"/>
    <w:rsid w:val="000A37C7"/>
    <w:rsid w:val="000A4532"/>
    <w:rsid w:val="000A59AF"/>
    <w:rsid w:val="000E25C5"/>
    <w:rsid w:val="001131CC"/>
    <w:rsid w:val="00142667"/>
    <w:rsid w:val="00196607"/>
    <w:rsid w:val="001A0F28"/>
    <w:rsid w:val="001A7218"/>
    <w:rsid w:val="001B0E6F"/>
    <w:rsid w:val="001B23AC"/>
    <w:rsid w:val="001D36F0"/>
    <w:rsid w:val="001D773C"/>
    <w:rsid w:val="002236DB"/>
    <w:rsid w:val="00254158"/>
    <w:rsid w:val="0028001C"/>
    <w:rsid w:val="00294110"/>
    <w:rsid w:val="00297531"/>
    <w:rsid w:val="002A12CD"/>
    <w:rsid w:val="002B76D1"/>
    <w:rsid w:val="002C289C"/>
    <w:rsid w:val="002C33FC"/>
    <w:rsid w:val="002D0612"/>
    <w:rsid w:val="002D12C9"/>
    <w:rsid w:val="002F2FB6"/>
    <w:rsid w:val="002F60AF"/>
    <w:rsid w:val="00346F84"/>
    <w:rsid w:val="00365A26"/>
    <w:rsid w:val="00373030"/>
    <w:rsid w:val="003958D5"/>
    <w:rsid w:val="003B6FFA"/>
    <w:rsid w:val="003C2D6A"/>
    <w:rsid w:val="003C344F"/>
    <w:rsid w:val="003C42C5"/>
    <w:rsid w:val="003F697F"/>
    <w:rsid w:val="00407341"/>
    <w:rsid w:val="00426A12"/>
    <w:rsid w:val="0049553A"/>
    <w:rsid w:val="0049626F"/>
    <w:rsid w:val="004C1EAE"/>
    <w:rsid w:val="004C7A4C"/>
    <w:rsid w:val="004D71AA"/>
    <w:rsid w:val="004E29AF"/>
    <w:rsid w:val="0053213B"/>
    <w:rsid w:val="00537836"/>
    <w:rsid w:val="005A3AB6"/>
    <w:rsid w:val="005A7329"/>
    <w:rsid w:val="005C5654"/>
    <w:rsid w:val="005D342C"/>
    <w:rsid w:val="005E1BF8"/>
    <w:rsid w:val="005E6906"/>
    <w:rsid w:val="005F41F9"/>
    <w:rsid w:val="00602FE9"/>
    <w:rsid w:val="0061704A"/>
    <w:rsid w:val="006455C0"/>
    <w:rsid w:val="00653A08"/>
    <w:rsid w:val="00663ED1"/>
    <w:rsid w:val="0067105F"/>
    <w:rsid w:val="0067260D"/>
    <w:rsid w:val="006B246D"/>
    <w:rsid w:val="006B4380"/>
    <w:rsid w:val="006C28F5"/>
    <w:rsid w:val="006E0BA1"/>
    <w:rsid w:val="006E479B"/>
    <w:rsid w:val="006F028C"/>
    <w:rsid w:val="00701C6E"/>
    <w:rsid w:val="007811BF"/>
    <w:rsid w:val="00784FEF"/>
    <w:rsid w:val="007968B0"/>
    <w:rsid w:val="007D0B4A"/>
    <w:rsid w:val="007E5ECA"/>
    <w:rsid w:val="00800641"/>
    <w:rsid w:val="00826162"/>
    <w:rsid w:val="00837C2F"/>
    <w:rsid w:val="00845116"/>
    <w:rsid w:val="008849A0"/>
    <w:rsid w:val="008B687B"/>
    <w:rsid w:val="008C4019"/>
    <w:rsid w:val="008E059C"/>
    <w:rsid w:val="008E6876"/>
    <w:rsid w:val="00922B5F"/>
    <w:rsid w:val="00922E7E"/>
    <w:rsid w:val="00932590"/>
    <w:rsid w:val="0093550F"/>
    <w:rsid w:val="00954029"/>
    <w:rsid w:val="009C103E"/>
    <w:rsid w:val="009D2DC5"/>
    <w:rsid w:val="009D40A5"/>
    <w:rsid w:val="009F6CAD"/>
    <w:rsid w:val="00A10FC7"/>
    <w:rsid w:val="00A24B07"/>
    <w:rsid w:val="00A3508E"/>
    <w:rsid w:val="00A3681A"/>
    <w:rsid w:val="00A70A14"/>
    <w:rsid w:val="00A77D19"/>
    <w:rsid w:val="00A90FF4"/>
    <w:rsid w:val="00AC288E"/>
    <w:rsid w:val="00AE4724"/>
    <w:rsid w:val="00AF41D1"/>
    <w:rsid w:val="00B1626E"/>
    <w:rsid w:val="00B17857"/>
    <w:rsid w:val="00B22C73"/>
    <w:rsid w:val="00B72471"/>
    <w:rsid w:val="00B760C0"/>
    <w:rsid w:val="00BB3B4D"/>
    <w:rsid w:val="00BF5501"/>
    <w:rsid w:val="00C011F9"/>
    <w:rsid w:val="00C05F54"/>
    <w:rsid w:val="00C122F0"/>
    <w:rsid w:val="00C230C3"/>
    <w:rsid w:val="00C72725"/>
    <w:rsid w:val="00C96F52"/>
    <w:rsid w:val="00CB34AD"/>
    <w:rsid w:val="00D05A77"/>
    <w:rsid w:val="00D356CA"/>
    <w:rsid w:val="00D50143"/>
    <w:rsid w:val="00D659EC"/>
    <w:rsid w:val="00D95D91"/>
    <w:rsid w:val="00DA051E"/>
    <w:rsid w:val="00DA2857"/>
    <w:rsid w:val="00DA5675"/>
    <w:rsid w:val="00DA669E"/>
    <w:rsid w:val="00E00405"/>
    <w:rsid w:val="00E10939"/>
    <w:rsid w:val="00E26FF1"/>
    <w:rsid w:val="00E357F8"/>
    <w:rsid w:val="00E8349E"/>
    <w:rsid w:val="00E83EEA"/>
    <w:rsid w:val="00E93A07"/>
    <w:rsid w:val="00E958AD"/>
    <w:rsid w:val="00EA517E"/>
    <w:rsid w:val="00EA6D5B"/>
    <w:rsid w:val="00EB19B4"/>
    <w:rsid w:val="00EE0E81"/>
    <w:rsid w:val="00EE292F"/>
    <w:rsid w:val="00EE7BBD"/>
    <w:rsid w:val="00F0191E"/>
    <w:rsid w:val="00F236E3"/>
    <w:rsid w:val="00F810F9"/>
    <w:rsid w:val="00F913A2"/>
    <w:rsid w:val="00FA3DAE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8C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F028C"/>
    <w:pPr>
      <w:spacing w:after="120"/>
      <w:jc w:val="both"/>
    </w:pPr>
    <w:rPr>
      <w:rFonts w:ascii=".VnTime" w:hAnsi=".VnTime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locked/>
    <w:rsid w:val="006F028C"/>
    <w:rPr>
      <w:rFonts w:ascii=".VnTime" w:hAnsi=".VnTime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F028C"/>
    <w:pPr>
      <w:ind w:firstLine="720"/>
      <w:jc w:val="both"/>
    </w:pPr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028C"/>
    <w:rPr>
      <w:rFonts w:ascii=".VnTime" w:hAnsi=".VnTime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B23A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49E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349E"/>
    <w:rPr>
      <w:vertAlign w:val="superscript"/>
    </w:rPr>
  </w:style>
  <w:style w:type="paragraph" w:customStyle="1" w:styleId="CharCharCharChar">
    <w:name w:val="Char Char Char Char"/>
    <w:basedOn w:val="Normal"/>
    <w:rsid w:val="002236DB"/>
    <w:pPr>
      <w:spacing w:after="160" w:line="240" w:lineRule="exact"/>
    </w:pPr>
    <w:rPr>
      <w:rFonts w:eastAsia="SimSu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8C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F028C"/>
    <w:pPr>
      <w:spacing w:after="120"/>
      <w:jc w:val="both"/>
    </w:pPr>
    <w:rPr>
      <w:rFonts w:ascii=".VnTime" w:hAnsi=".VnTime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locked/>
    <w:rsid w:val="006F028C"/>
    <w:rPr>
      <w:rFonts w:ascii=".VnTime" w:hAnsi=".VnTime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F028C"/>
    <w:pPr>
      <w:ind w:firstLine="720"/>
      <w:jc w:val="both"/>
    </w:pPr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028C"/>
    <w:rPr>
      <w:rFonts w:ascii=".VnTime" w:hAnsi=".VnTime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B23A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49E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349E"/>
    <w:rPr>
      <w:vertAlign w:val="superscript"/>
    </w:rPr>
  </w:style>
  <w:style w:type="paragraph" w:customStyle="1" w:styleId="CharCharCharChar">
    <w:name w:val="Char Char Char Char"/>
    <w:basedOn w:val="Normal"/>
    <w:rsid w:val="002236DB"/>
    <w:pPr>
      <w:spacing w:after="160" w:line="240" w:lineRule="exact"/>
    </w:pPr>
    <w:rPr>
      <w:rFonts w:eastAsia="SimSu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www.ledungbxd.com.vn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ledung</dc:creator>
  <cp:lastModifiedBy>CIC</cp:lastModifiedBy>
  <cp:revision>6</cp:revision>
  <cp:lastPrinted>2015-07-06T08:49:00Z</cp:lastPrinted>
  <dcterms:created xsi:type="dcterms:W3CDTF">2017-11-17T02:09:00Z</dcterms:created>
  <dcterms:modified xsi:type="dcterms:W3CDTF">2017-11-17T03:32:00Z</dcterms:modified>
</cp:coreProperties>
</file>