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068"/>
      </w:tblGrid>
      <w:tr w:rsidR="007526D0" w:rsidTr="00B40C9C">
        <w:tc>
          <w:tcPr>
            <w:tcW w:w="3227" w:type="dxa"/>
          </w:tcPr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B958A" wp14:editId="47449ACF">
                      <wp:simplePos x="0" y="0"/>
                      <wp:positionH relativeFrom="column">
                        <wp:posOffset>518758</wp:posOffset>
                      </wp:positionH>
                      <wp:positionV relativeFrom="paragraph">
                        <wp:posOffset>294640</wp:posOffset>
                      </wp:positionV>
                      <wp:extent cx="802640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23.2pt" to="104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" strokecolor="black [3040]"/>
                  </w:pict>
                </mc:Fallback>
              </mc:AlternateContent>
            </w:r>
            <w:r w:rsidRPr="007526D0">
              <w:rPr>
                <w:b/>
                <w:sz w:val="26"/>
                <w:szCs w:val="26"/>
              </w:rPr>
              <w:t>BỘ XÂY DỰNG</w:t>
            </w:r>
          </w:p>
        </w:tc>
        <w:tc>
          <w:tcPr>
            <w:tcW w:w="6088" w:type="dxa"/>
          </w:tcPr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6"/>
                <w:szCs w:val="26"/>
              </w:rPr>
            </w:pPr>
            <w:r w:rsidRPr="007526D0">
              <w:rPr>
                <w:b/>
                <w:sz w:val="26"/>
                <w:szCs w:val="26"/>
              </w:rPr>
              <w:t>CỘNG HÒA XÃ HỘI CHỦ NGHĨA VIỆT NAM</w:t>
            </w:r>
          </w:p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8"/>
                <w:szCs w:val="28"/>
              </w:rPr>
            </w:pPr>
            <w:r w:rsidRPr="007526D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526D0" w:rsidTr="00B40C9C">
        <w:tc>
          <w:tcPr>
            <w:tcW w:w="3227" w:type="dxa"/>
          </w:tcPr>
          <w:p w:rsidR="007526D0" w:rsidRDefault="007526D0" w:rsidP="00E25FC0">
            <w:pPr>
              <w:spacing w:before="2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C23F1F">
              <w:rPr>
                <w:sz w:val="28"/>
                <w:szCs w:val="28"/>
              </w:rPr>
              <w:t xml:space="preserve"> 287</w:t>
            </w:r>
            <w:r>
              <w:rPr>
                <w:sz w:val="28"/>
                <w:szCs w:val="28"/>
              </w:rPr>
              <w:t>/BXD-QLN</w:t>
            </w:r>
          </w:p>
          <w:p w:rsidR="007526D0" w:rsidRPr="007526D0" w:rsidRDefault="007526D0" w:rsidP="00E25FC0">
            <w:pPr>
              <w:spacing w:before="120" w:line="240" w:lineRule="exact"/>
              <w:jc w:val="both"/>
            </w:pPr>
            <w:r w:rsidRPr="007526D0">
              <w:t xml:space="preserve">V/v: trả lời văn bản số </w:t>
            </w:r>
            <w:r w:rsidR="00603F09">
              <w:t xml:space="preserve">625/2017/CV-VAB </w:t>
            </w:r>
            <w:r w:rsidR="009A7BA2">
              <w:t>của Ngân hàng TMCP Việt Á.</w:t>
            </w:r>
          </w:p>
        </w:tc>
        <w:tc>
          <w:tcPr>
            <w:tcW w:w="6088" w:type="dxa"/>
          </w:tcPr>
          <w:p w:rsidR="007526D0" w:rsidRPr="007526D0" w:rsidRDefault="007526D0" w:rsidP="00C23F1F">
            <w:pPr>
              <w:spacing w:before="120" w:after="120" w:line="340" w:lineRule="exac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3E293" wp14:editId="0047E00C">
                      <wp:simplePos x="0" y="0"/>
                      <wp:positionH relativeFrom="column">
                        <wp:posOffset>877607</wp:posOffset>
                      </wp:positionH>
                      <wp:positionV relativeFrom="paragraph">
                        <wp:posOffset>20320</wp:posOffset>
                      </wp:positionV>
                      <wp:extent cx="199136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1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1.6pt" to="22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" strokecolor="black [3040]"/>
                  </w:pict>
                </mc:Fallback>
              </mc:AlternateContent>
            </w:r>
            <w:r w:rsidRPr="007526D0">
              <w:rPr>
                <w:i/>
                <w:sz w:val="28"/>
                <w:szCs w:val="28"/>
              </w:rPr>
              <w:t>Hà Nội, ngày</w:t>
            </w:r>
            <w:r w:rsidR="00C23F1F">
              <w:rPr>
                <w:i/>
                <w:sz w:val="28"/>
                <w:szCs w:val="28"/>
              </w:rPr>
              <w:t xml:space="preserve"> 25 </w:t>
            </w:r>
            <w:r w:rsidRPr="007526D0">
              <w:rPr>
                <w:i/>
                <w:sz w:val="28"/>
                <w:szCs w:val="28"/>
              </w:rPr>
              <w:t xml:space="preserve">tháng </w:t>
            </w:r>
            <w:r w:rsidR="00C23F1F">
              <w:rPr>
                <w:i/>
                <w:sz w:val="28"/>
                <w:szCs w:val="28"/>
              </w:rPr>
              <w:t xml:space="preserve">10 </w:t>
            </w:r>
            <w:r w:rsidRPr="007526D0">
              <w:rPr>
                <w:i/>
                <w:sz w:val="28"/>
                <w:szCs w:val="28"/>
              </w:rPr>
              <w:t>năm 2017</w:t>
            </w:r>
          </w:p>
        </w:tc>
      </w:tr>
    </w:tbl>
    <w:p w:rsidR="007526D0" w:rsidRDefault="007526D0" w:rsidP="002C5549">
      <w:pPr>
        <w:tabs>
          <w:tab w:val="left" w:pos="3659"/>
          <w:tab w:val="left" w:pos="6200"/>
        </w:tabs>
        <w:spacing w:before="480" w:after="480"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9A7BA2" w:rsidRPr="009A7BA2">
        <w:rPr>
          <w:sz w:val="28"/>
          <w:szCs w:val="28"/>
        </w:rPr>
        <w:t>Ngân hàng TMCP Việt Á</w:t>
      </w:r>
    </w:p>
    <w:p w:rsidR="007526D0" w:rsidRPr="00D164C4" w:rsidRDefault="007526D0" w:rsidP="00846A59">
      <w:pPr>
        <w:spacing w:before="120" w:line="360" w:lineRule="exact"/>
        <w:ind w:firstLine="561"/>
        <w:jc w:val="both"/>
        <w:rPr>
          <w:sz w:val="28"/>
          <w:szCs w:val="28"/>
        </w:rPr>
      </w:pPr>
      <w:r w:rsidRPr="00D164C4">
        <w:rPr>
          <w:sz w:val="28"/>
          <w:szCs w:val="28"/>
        </w:rPr>
        <w:t>B</w:t>
      </w:r>
      <w:r w:rsidR="00846A59">
        <w:rPr>
          <w:sz w:val="28"/>
          <w:szCs w:val="28"/>
        </w:rPr>
        <w:t>ộ Xây dựng nhận được văn bản số</w:t>
      </w:r>
      <w:r w:rsidR="009A7BA2" w:rsidRPr="00846A59">
        <w:rPr>
          <w:sz w:val="28"/>
          <w:szCs w:val="28"/>
        </w:rPr>
        <w:t xml:space="preserve"> 625/2017/CV-VAB</w:t>
      </w:r>
      <w:r w:rsidR="009A7BA2" w:rsidRPr="00D164C4">
        <w:rPr>
          <w:sz w:val="28"/>
          <w:szCs w:val="28"/>
        </w:rPr>
        <w:t xml:space="preserve"> </w:t>
      </w:r>
      <w:r w:rsidRPr="00D164C4">
        <w:rPr>
          <w:sz w:val="28"/>
          <w:szCs w:val="28"/>
        </w:rPr>
        <w:t xml:space="preserve">ngày </w:t>
      </w:r>
      <w:r w:rsidR="009A7BA2" w:rsidRPr="00D164C4">
        <w:rPr>
          <w:sz w:val="28"/>
          <w:szCs w:val="28"/>
        </w:rPr>
        <w:t>19/9/2017</w:t>
      </w:r>
      <w:r w:rsidRPr="00D164C4">
        <w:rPr>
          <w:sz w:val="28"/>
          <w:szCs w:val="28"/>
        </w:rPr>
        <w:t xml:space="preserve"> của </w:t>
      </w:r>
      <w:r w:rsidR="009A7BA2" w:rsidRPr="00D164C4">
        <w:rPr>
          <w:sz w:val="28"/>
          <w:szCs w:val="28"/>
        </w:rPr>
        <w:t xml:space="preserve">Ngân hàng TMCP Việt Á </w:t>
      </w:r>
      <w:r w:rsidRPr="00D164C4">
        <w:rPr>
          <w:sz w:val="28"/>
          <w:szCs w:val="28"/>
        </w:rPr>
        <w:t xml:space="preserve">đề nghị hướng dẫn việc </w:t>
      </w:r>
      <w:r w:rsidR="009A7BA2" w:rsidRPr="00D164C4">
        <w:rPr>
          <w:sz w:val="28"/>
          <w:szCs w:val="28"/>
        </w:rPr>
        <w:t>huy động vốn cho các dự án kinh doanh bất động sản không phải là nhà ở</w:t>
      </w:r>
      <w:r w:rsidR="00FC79CA">
        <w:rPr>
          <w:sz w:val="28"/>
          <w:szCs w:val="28"/>
        </w:rPr>
        <w:t xml:space="preserve"> có phải đáp ứng điều kiện về k</w:t>
      </w:r>
      <w:r w:rsidR="007C4C3C">
        <w:rPr>
          <w:sz w:val="28"/>
          <w:szCs w:val="28"/>
        </w:rPr>
        <w:t>ý hợp đồng huy động vốn cho p</w:t>
      </w:r>
      <w:bookmarkStart w:id="0" w:name="_GoBack"/>
      <w:bookmarkEnd w:id="0"/>
      <w:r w:rsidR="00FC79CA" w:rsidRPr="00FC79CA">
        <w:rPr>
          <w:sz w:val="28"/>
          <w:szCs w:val="28"/>
        </w:rPr>
        <w:t>h</w:t>
      </w:r>
      <w:r w:rsidR="00307C97">
        <w:rPr>
          <w:sz w:val="28"/>
          <w:szCs w:val="28"/>
        </w:rPr>
        <w:t>át triển nhà ở thương mại quy đị</w:t>
      </w:r>
      <w:r w:rsidR="00FC79CA" w:rsidRPr="00FC79CA">
        <w:rPr>
          <w:sz w:val="28"/>
          <w:szCs w:val="28"/>
        </w:rPr>
        <w:t xml:space="preserve">nh tại </w:t>
      </w:r>
      <w:r w:rsidR="00FC79CA">
        <w:rPr>
          <w:sz w:val="28"/>
          <w:szCs w:val="28"/>
        </w:rPr>
        <w:t xml:space="preserve">Điều 19 của </w:t>
      </w:r>
      <w:r w:rsidR="00FC79CA" w:rsidRPr="00D164C4">
        <w:rPr>
          <w:sz w:val="28"/>
          <w:szCs w:val="28"/>
        </w:rPr>
        <w:t>Nghị định số 99/2015/NĐ-CP ngày 20/10/2015 của Chính phủ quy định chi tiết và hướng dẫn thi hành một số điều của Luật Nhà ở</w:t>
      </w:r>
      <w:r w:rsidR="00B47DA4">
        <w:rPr>
          <w:sz w:val="28"/>
          <w:szCs w:val="28"/>
        </w:rPr>
        <w:t xml:space="preserve"> hay không</w:t>
      </w:r>
      <w:r w:rsidR="009A7BA2" w:rsidRPr="00D164C4">
        <w:rPr>
          <w:sz w:val="28"/>
          <w:szCs w:val="28"/>
        </w:rPr>
        <w:t>.</w:t>
      </w:r>
      <w:r w:rsidRPr="00D164C4">
        <w:rPr>
          <w:sz w:val="28"/>
          <w:szCs w:val="28"/>
        </w:rPr>
        <w:t xml:space="preserve"> Sau khi nghiên cứu, Bộ Xây dựng có ý kiến như sau:</w:t>
      </w:r>
    </w:p>
    <w:p w:rsidR="00846A59" w:rsidRPr="00846A59" w:rsidRDefault="00E25FC0" w:rsidP="00846A59">
      <w:pPr>
        <w:spacing w:before="120" w:line="360" w:lineRule="exact"/>
        <w:ind w:firstLine="561"/>
        <w:jc w:val="both"/>
        <w:rPr>
          <w:sz w:val="28"/>
          <w:szCs w:val="28"/>
        </w:rPr>
      </w:pPr>
      <w:r w:rsidRPr="00D164C4">
        <w:rPr>
          <w:sz w:val="28"/>
          <w:szCs w:val="28"/>
        </w:rPr>
        <w:t xml:space="preserve"> </w:t>
      </w:r>
      <w:r w:rsidR="00B47DA4">
        <w:rPr>
          <w:sz w:val="28"/>
          <w:szCs w:val="28"/>
        </w:rPr>
        <w:t>N</w:t>
      </w:r>
      <w:r w:rsidR="00FC79CA">
        <w:rPr>
          <w:sz w:val="28"/>
          <w:szCs w:val="28"/>
        </w:rPr>
        <w:t xml:space="preserve">ội dung của </w:t>
      </w:r>
      <w:r w:rsidR="00846A59">
        <w:rPr>
          <w:sz w:val="28"/>
          <w:szCs w:val="28"/>
        </w:rPr>
        <w:t xml:space="preserve">Điều 19 của </w:t>
      </w:r>
      <w:r w:rsidR="00846A59" w:rsidRPr="00D164C4">
        <w:rPr>
          <w:sz w:val="28"/>
          <w:szCs w:val="28"/>
        </w:rPr>
        <w:t>Nghị định số 99/2015/NĐ-CP ngày 20/10/2015 của Chính phủ quy định chi tiết và hướng dẫn thi hành một số điều của Luật Nhà ở</w:t>
      </w:r>
      <w:r w:rsidR="00846A59">
        <w:rPr>
          <w:sz w:val="28"/>
          <w:szCs w:val="28"/>
        </w:rPr>
        <w:t xml:space="preserve"> </w:t>
      </w:r>
      <w:r w:rsidR="00B47DA4">
        <w:rPr>
          <w:sz w:val="28"/>
          <w:szCs w:val="28"/>
        </w:rPr>
        <w:t xml:space="preserve">chỉ </w:t>
      </w:r>
      <w:r w:rsidR="00846A59">
        <w:rPr>
          <w:sz w:val="28"/>
          <w:szCs w:val="28"/>
        </w:rPr>
        <w:t>quy định về việc “</w:t>
      </w:r>
      <w:bookmarkStart w:id="1" w:name="_Toc7717"/>
      <w:r w:rsidR="00846A59" w:rsidRPr="00846A59">
        <w:rPr>
          <w:i/>
          <w:sz w:val="28"/>
          <w:szCs w:val="28"/>
        </w:rPr>
        <w:t>Ký hợp đồng huy động vốn cho phát triển nhà ở thương mại</w:t>
      </w:r>
      <w:bookmarkEnd w:id="1"/>
      <w:r w:rsidR="00846A59" w:rsidRPr="00846A59">
        <w:rPr>
          <w:i/>
          <w:sz w:val="28"/>
          <w:szCs w:val="28"/>
        </w:rPr>
        <w:t>”</w:t>
      </w:r>
      <w:r w:rsidR="00846A59">
        <w:rPr>
          <w:i/>
          <w:sz w:val="28"/>
          <w:szCs w:val="28"/>
        </w:rPr>
        <w:t>.</w:t>
      </w:r>
      <w:r w:rsidR="00846A59">
        <w:rPr>
          <w:sz w:val="28"/>
          <w:szCs w:val="28"/>
        </w:rPr>
        <w:t xml:space="preserve"> </w:t>
      </w:r>
      <w:r w:rsidR="009A7BA2" w:rsidRPr="00846A59">
        <w:rPr>
          <w:sz w:val="28"/>
          <w:szCs w:val="28"/>
        </w:rPr>
        <w:t>Như vậy, quy định nêu trên</w:t>
      </w:r>
      <w:r w:rsidR="00846A59" w:rsidRPr="00846A59">
        <w:rPr>
          <w:sz w:val="28"/>
          <w:szCs w:val="28"/>
        </w:rPr>
        <w:t xml:space="preserve"> không áp dụng đối với </w:t>
      </w:r>
      <w:r w:rsidR="00FC79CA">
        <w:rPr>
          <w:sz w:val="28"/>
          <w:szCs w:val="28"/>
        </w:rPr>
        <w:t xml:space="preserve">huy động vốn cho </w:t>
      </w:r>
      <w:r w:rsidR="00846A59" w:rsidRPr="00846A59">
        <w:rPr>
          <w:sz w:val="28"/>
          <w:szCs w:val="28"/>
        </w:rPr>
        <w:t>các dự án đầu tư kinh doanh bất động sản không phải là dự án phát triển nhà ở</w:t>
      </w:r>
      <w:r w:rsidR="00FC79CA">
        <w:rPr>
          <w:sz w:val="28"/>
          <w:szCs w:val="28"/>
        </w:rPr>
        <w:t xml:space="preserve"> thương mại</w:t>
      </w:r>
      <w:r w:rsidR="00846A59" w:rsidRPr="00846A59">
        <w:rPr>
          <w:sz w:val="28"/>
          <w:szCs w:val="28"/>
        </w:rPr>
        <w:t>.</w:t>
      </w:r>
    </w:p>
    <w:p w:rsidR="00E3764B" w:rsidRDefault="00E3764B" w:rsidP="00FC79CA">
      <w:pPr>
        <w:spacing w:before="120" w:after="120" w:line="360" w:lineRule="exact"/>
        <w:ind w:firstLine="561"/>
        <w:jc w:val="both"/>
        <w:rPr>
          <w:sz w:val="28"/>
          <w:szCs w:val="28"/>
        </w:rPr>
      </w:pPr>
      <w:r w:rsidRPr="00D164C4">
        <w:rPr>
          <w:sz w:val="28"/>
          <w:szCs w:val="28"/>
        </w:rPr>
        <w:t xml:space="preserve">Trên đây là ý kiến </w:t>
      </w:r>
      <w:r w:rsidR="00FC79CA">
        <w:rPr>
          <w:sz w:val="28"/>
          <w:szCs w:val="28"/>
        </w:rPr>
        <w:t xml:space="preserve">trả lời </w:t>
      </w:r>
      <w:r w:rsidRPr="00D164C4">
        <w:rPr>
          <w:sz w:val="28"/>
          <w:szCs w:val="28"/>
        </w:rPr>
        <w:t xml:space="preserve">của Bộ Xây dựng, đề nghị </w:t>
      </w:r>
      <w:r w:rsidR="009A7BA2" w:rsidRPr="00D164C4">
        <w:rPr>
          <w:sz w:val="28"/>
          <w:szCs w:val="28"/>
        </w:rPr>
        <w:t>Ngân hàng TMCP Việt Á</w:t>
      </w:r>
      <w:r w:rsidRPr="00D164C4">
        <w:rPr>
          <w:sz w:val="28"/>
          <w:szCs w:val="28"/>
        </w:rPr>
        <w:t xml:space="preserve"> nghiên cứu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065"/>
      </w:tblGrid>
      <w:tr w:rsidR="001F7B58" w:rsidTr="001F7B58">
        <w:tc>
          <w:tcPr>
            <w:tcW w:w="4236" w:type="dxa"/>
            <w:vMerge w:val="restart"/>
          </w:tcPr>
          <w:p w:rsidR="001F7B58" w:rsidRPr="00E3764B" w:rsidRDefault="001F7B58" w:rsidP="00E3764B">
            <w:pPr>
              <w:spacing w:before="240" w:line="340" w:lineRule="exact"/>
              <w:jc w:val="both"/>
              <w:rPr>
                <w:b/>
                <w:i/>
              </w:rPr>
            </w:pPr>
            <w:r w:rsidRPr="00E3764B">
              <w:rPr>
                <w:b/>
                <w:i/>
              </w:rPr>
              <w:t>Nơi nhận:</w:t>
            </w:r>
          </w:p>
          <w:p w:rsidR="001F7B58" w:rsidRDefault="001F7B58" w:rsidP="00943D6F">
            <w:pPr>
              <w:pStyle w:val="ListParagraph"/>
              <w:numPr>
                <w:ilvl w:val="0"/>
                <w:numId w:val="1"/>
              </w:numPr>
              <w:spacing w:before="120" w:line="300" w:lineRule="exact"/>
              <w:ind w:left="284" w:hanging="284"/>
              <w:jc w:val="both"/>
              <w:rPr>
                <w:sz w:val="22"/>
                <w:szCs w:val="22"/>
              </w:rPr>
            </w:pPr>
            <w:r w:rsidRPr="00724881">
              <w:rPr>
                <w:sz w:val="22"/>
                <w:szCs w:val="22"/>
              </w:rPr>
              <w:t>Như trên;</w:t>
            </w:r>
          </w:p>
          <w:p w:rsidR="001F7B58" w:rsidRPr="00724881" w:rsidRDefault="001F7B58" w:rsidP="00943D6F">
            <w:pPr>
              <w:pStyle w:val="ListParagraph"/>
              <w:numPr>
                <w:ilvl w:val="0"/>
                <w:numId w:val="1"/>
              </w:numPr>
              <w:spacing w:before="120" w:line="300" w:lineRule="exac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Bộ trưởng Phạm Hồng Hà (để b/c);</w:t>
            </w:r>
          </w:p>
          <w:p w:rsidR="001F7B58" w:rsidRPr="00E3764B" w:rsidRDefault="001F7B58" w:rsidP="00943D6F">
            <w:pPr>
              <w:pStyle w:val="ListParagraph"/>
              <w:numPr>
                <w:ilvl w:val="0"/>
                <w:numId w:val="1"/>
              </w:numPr>
              <w:spacing w:before="120" w:line="300" w:lineRule="exact"/>
              <w:ind w:left="284" w:hanging="284"/>
              <w:jc w:val="both"/>
              <w:rPr>
                <w:b/>
                <w:i/>
              </w:rPr>
            </w:pPr>
            <w:r w:rsidRPr="00724881">
              <w:rPr>
                <w:sz w:val="22"/>
                <w:szCs w:val="22"/>
              </w:rPr>
              <w:t>Lưu: VT, QLN.</w:t>
            </w:r>
          </w:p>
        </w:tc>
        <w:tc>
          <w:tcPr>
            <w:tcW w:w="5079" w:type="dxa"/>
          </w:tcPr>
          <w:p w:rsidR="001F7B58" w:rsidRPr="00E3764B" w:rsidRDefault="001F7B58" w:rsidP="00E7056F">
            <w:pPr>
              <w:spacing w:before="120" w:line="300" w:lineRule="exact"/>
              <w:jc w:val="center"/>
              <w:rPr>
                <w:b/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TL.BỘ TRƯỞNG</w:t>
            </w:r>
          </w:p>
          <w:p w:rsidR="001F7B58" w:rsidRDefault="001F7B58" w:rsidP="00E7056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CỤC TRƯỞNG CỤC QUẢN LÝ NHÀ VÀ THỊ TRƯỜNG BẤT ĐỘNG SẢN</w:t>
            </w:r>
          </w:p>
        </w:tc>
      </w:tr>
      <w:tr w:rsidR="001F7B58" w:rsidTr="001F7B58">
        <w:tc>
          <w:tcPr>
            <w:tcW w:w="4236" w:type="dxa"/>
            <w:vMerge/>
          </w:tcPr>
          <w:p w:rsidR="001F7B58" w:rsidRPr="00E3764B" w:rsidRDefault="001F7B58" w:rsidP="00943D6F">
            <w:pPr>
              <w:pStyle w:val="ListParagraph"/>
              <w:numPr>
                <w:ilvl w:val="0"/>
                <w:numId w:val="1"/>
              </w:numPr>
              <w:spacing w:before="120" w:line="300" w:lineRule="exact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1F7B58" w:rsidRDefault="001F7B58" w:rsidP="006852AB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  <w:p w:rsidR="002538FF" w:rsidRPr="002538FF" w:rsidRDefault="002538FF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538FF" w:rsidRPr="002538FF" w:rsidRDefault="002538FF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38FF">
              <w:rPr>
                <w:sz w:val="28"/>
                <w:szCs w:val="28"/>
              </w:rPr>
              <w:t>(đã ký)</w:t>
            </w:r>
          </w:p>
          <w:p w:rsidR="001F7B58" w:rsidRDefault="002538FF" w:rsidP="006852AB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7B58" w:rsidRDefault="001F7B58" w:rsidP="00E3764B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1F7B58" w:rsidRPr="00E3764B" w:rsidRDefault="001F7B58" w:rsidP="00E3764B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Nguyễn Trọng Ninh</w:t>
            </w:r>
          </w:p>
        </w:tc>
      </w:tr>
    </w:tbl>
    <w:p w:rsidR="00E3764B" w:rsidRPr="006852AB" w:rsidRDefault="00E3764B" w:rsidP="00D95DC2">
      <w:pPr>
        <w:spacing w:before="120" w:after="120" w:line="340" w:lineRule="exact"/>
        <w:jc w:val="both"/>
        <w:rPr>
          <w:sz w:val="28"/>
          <w:szCs w:val="28"/>
        </w:rPr>
      </w:pPr>
    </w:p>
    <w:sectPr w:rsidR="00E3764B" w:rsidRPr="006852AB" w:rsidSect="002C554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33B"/>
    <w:multiLevelType w:val="hybridMultilevel"/>
    <w:tmpl w:val="5BC4F858"/>
    <w:lvl w:ilvl="0" w:tplc="E1C4DC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2D92274"/>
    <w:multiLevelType w:val="hybridMultilevel"/>
    <w:tmpl w:val="4F5E32AA"/>
    <w:lvl w:ilvl="0" w:tplc="88CA3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B"/>
    <w:rsid w:val="00002E83"/>
    <w:rsid w:val="00011B08"/>
    <w:rsid w:val="00072A0C"/>
    <w:rsid w:val="001F6C9E"/>
    <w:rsid w:val="001F7B58"/>
    <w:rsid w:val="002538FF"/>
    <w:rsid w:val="002C4CC7"/>
    <w:rsid w:val="002C5549"/>
    <w:rsid w:val="002F3C72"/>
    <w:rsid w:val="002F45A6"/>
    <w:rsid w:val="00307C97"/>
    <w:rsid w:val="0040764B"/>
    <w:rsid w:val="00434F9E"/>
    <w:rsid w:val="005A53DE"/>
    <w:rsid w:val="00603F09"/>
    <w:rsid w:val="00624F08"/>
    <w:rsid w:val="006852AB"/>
    <w:rsid w:val="00724881"/>
    <w:rsid w:val="007526D0"/>
    <w:rsid w:val="007C4C3C"/>
    <w:rsid w:val="007E5651"/>
    <w:rsid w:val="00846A59"/>
    <w:rsid w:val="00943D6F"/>
    <w:rsid w:val="009A7BA2"/>
    <w:rsid w:val="00AE498F"/>
    <w:rsid w:val="00B02741"/>
    <w:rsid w:val="00B40C9C"/>
    <w:rsid w:val="00B47DA4"/>
    <w:rsid w:val="00B551F4"/>
    <w:rsid w:val="00C23F1F"/>
    <w:rsid w:val="00D164C4"/>
    <w:rsid w:val="00D95DC2"/>
    <w:rsid w:val="00E25FC0"/>
    <w:rsid w:val="00E32C46"/>
    <w:rsid w:val="00E3764B"/>
    <w:rsid w:val="00E7056F"/>
    <w:rsid w:val="00F2624F"/>
    <w:rsid w:val="00FC79CA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A59"/>
    <w:pPr>
      <w:keepNext/>
      <w:keepLines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852A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  <w:style w:type="paragraph" w:customStyle="1" w:styleId="Char0">
    <w:name w:val="Char"/>
    <w:basedOn w:val="Normal"/>
    <w:rsid w:val="00E25FC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46A59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A59"/>
    <w:pPr>
      <w:keepNext/>
      <w:keepLines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852A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  <w:style w:type="paragraph" w:customStyle="1" w:styleId="Char0">
    <w:name w:val="Char"/>
    <w:basedOn w:val="Normal"/>
    <w:rsid w:val="00E25FC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46A59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CIC</cp:lastModifiedBy>
  <cp:revision>5</cp:revision>
  <cp:lastPrinted>2017-10-23T01:29:00Z</cp:lastPrinted>
  <dcterms:created xsi:type="dcterms:W3CDTF">2017-10-30T02:50:00Z</dcterms:created>
  <dcterms:modified xsi:type="dcterms:W3CDTF">2017-10-30T03:14:00Z</dcterms:modified>
</cp:coreProperties>
</file>