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192"/>
      </w:tblGrid>
      <w:tr w:rsidR="000A084D" w:rsidRPr="000F6D04" w:rsidTr="000A084D">
        <w:tc>
          <w:tcPr>
            <w:tcW w:w="3119" w:type="dxa"/>
          </w:tcPr>
          <w:p w:rsidR="000A084D" w:rsidRPr="000F6D04" w:rsidRDefault="000A084D" w:rsidP="008A4B08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0F6D04">
              <w:rPr>
                <w:rFonts w:ascii="Times New Roman" w:hAnsi="Times New Roman"/>
                <w:sz w:val="28"/>
                <w:szCs w:val="28"/>
              </w:rPr>
              <w:t>BỘ XÂY DỰNG</w:t>
            </w:r>
          </w:p>
          <w:p w:rsidR="000A084D" w:rsidRPr="000F6D04" w:rsidRDefault="000A084D" w:rsidP="008A4B08">
            <w:pPr>
              <w:spacing w:after="120" w:line="120" w:lineRule="auto"/>
              <w:jc w:val="center"/>
              <w:rPr>
                <w:szCs w:val="28"/>
              </w:rPr>
            </w:pPr>
            <w:r w:rsidRPr="000F6D04">
              <w:rPr>
                <w:szCs w:val="28"/>
              </w:rPr>
              <w:t>_________</w:t>
            </w:r>
          </w:p>
          <w:p w:rsidR="000A084D" w:rsidRPr="000F6D04" w:rsidRDefault="000A084D" w:rsidP="008A4B08">
            <w:pPr>
              <w:spacing w:after="120" w:line="120" w:lineRule="auto"/>
              <w:jc w:val="center"/>
              <w:rPr>
                <w:szCs w:val="28"/>
              </w:rPr>
            </w:pPr>
          </w:p>
          <w:p w:rsidR="000A084D" w:rsidRPr="000F6D04" w:rsidRDefault="000A084D" w:rsidP="00BA4CFD">
            <w:pPr>
              <w:jc w:val="center"/>
            </w:pPr>
            <w:r w:rsidRPr="000F6D04">
              <w:rPr>
                <w:szCs w:val="28"/>
              </w:rPr>
              <w:t xml:space="preserve">Số: </w:t>
            </w:r>
            <w:r w:rsidR="00BA4CFD">
              <w:rPr>
                <w:szCs w:val="28"/>
              </w:rPr>
              <w:t>103</w:t>
            </w:r>
            <w:r w:rsidRPr="000F6D04">
              <w:rPr>
                <w:szCs w:val="28"/>
              </w:rPr>
              <w:t>/BXD-HĐXD</w:t>
            </w:r>
          </w:p>
        </w:tc>
        <w:tc>
          <w:tcPr>
            <w:tcW w:w="6192" w:type="dxa"/>
          </w:tcPr>
          <w:p w:rsidR="000A084D" w:rsidRPr="000F6D04" w:rsidRDefault="000A084D" w:rsidP="008A4B08">
            <w:pPr>
              <w:pStyle w:val="Heading2"/>
              <w:rPr>
                <w:rFonts w:ascii="Times New Roman" w:hAnsi="Times New Roman"/>
                <w:sz w:val="30"/>
              </w:rPr>
            </w:pPr>
            <w:r w:rsidRPr="000F6D04">
              <w:rPr>
                <w:rFonts w:ascii="Times New Roman" w:hAnsi="Times New Roman"/>
                <w:sz w:val="28"/>
              </w:rPr>
              <w:t>CỘNG HOÀ XÃ HỘI CHỦ NGHĨA VIỆT NAM</w:t>
            </w:r>
          </w:p>
          <w:p w:rsidR="000A084D" w:rsidRPr="000F6D04" w:rsidRDefault="000A084D" w:rsidP="008A4B08">
            <w:pPr>
              <w:jc w:val="center"/>
              <w:rPr>
                <w:b/>
              </w:rPr>
            </w:pPr>
            <w:r w:rsidRPr="000F6D04">
              <w:rPr>
                <w:b/>
              </w:rPr>
              <w:t>Độc lập - Tự do - Hạnh phúc</w:t>
            </w:r>
          </w:p>
          <w:p w:rsidR="000A084D" w:rsidRPr="000F6D04" w:rsidRDefault="00233CF1" w:rsidP="008A4B08">
            <w:pPr>
              <w:jc w:val="right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59055</wp:posOffset>
                      </wp:positionV>
                      <wp:extent cx="2133600" cy="0"/>
                      <wp:effectExtent l="12065" t="11430" r="698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4.65pt" to="234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MA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"/>
                  </w:pict>
                </mc:Fallback>
              </mc:AlternateContent>
            </w:r>
          </w:p>
          <w:p w:rsidR="000A084D" w:rsidRPr="000F6D04" w:rsidRDefault="000A084D" w:rsidP="00BA4CFD">
            <w:pPr>
              <w:jc w:val="right"/>
            </w:pPr>
            <w:r w:rsidRPr="000F6D04">
              <w:rPr>
                <w:i/>
              </w:rPr>
              <w:t>Hà Nộ</w:t>
            </w:r>
            <w:r w:rsidR="00BA4CFD">
              <w:rPr>
                <w:i/>
              </w:rPr>
              <w:t>i, ngày  29</w:t>
            </w:r>
            <w:r w:rsidRPr="000F6D04">
              <w:rPr>
                <w:i/>
              </w:rPr>
              <w:t xml:space="preserve">  tháng   </w:t>
            </w:r>
            <w:r w:rsidR="007A6842">
              <w:rPr>
                <w:i/>
              </w:rPr>
              <w:t>11</w:t>
            </w:r>
            <w:r>
              <w:rPr>
                <w:i/>
              </w:rPr>
              <w:t xml:space="preserve"> </w:t>
            </w:r>
            <w:r w:rsidRPr="000F6D04">
              <w:rPr>
                <w:i/>
              </w:rPr>
              <w:t xml:space="preserve"> năm 2016.</w:t>
            </w:r>
          </w:p>
        </w:tc>
      </w:tr>
      <w:tr w:rsidR="000A084D" w:rsidRPr="000F6D04" w:rsidTr="000A084D">
        <w:tc>
          <w:tcPr>
            <w:tcW w:w="3119" w:type="dxa"/>
          </w:tcPr>
          <w:p w:rsidR="000A084D" w:rsidRPr="000A084D" w:rsidRDefault="000A084D" w:rsidP="004C1AFE">
            <w:pPr>
              <w:pStyle w:val="Heading2"/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0F6D04">
              <w:rPr>
                <w:rFonts w:ascii="Times New Roman" w:hAnsi="Times New Roman"/>
                <w:b w:val="0"/>
                <w:iCs/>
                <w:sz w:val="24"/>
              </w:rPr>
              <w:t>V/v</w:t>
            </w:r>
            <w:r w:rsidRPr="000F6D04">
              <w:rPr>
                <w:b w:val="0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24"/>
              </w:rPr>
              <w:t>hướng dẫn về giấy phép xây dựng dự án khu dân cư Bình Tân, TP Hồ Chí Minh.</w:t>
            </w:r>
          </w:p>
        </w:tc>
        <w:tc>
          <w:tcPr>
            <w:tcW w:w="6192" w:type="dxa"/>
          </w:tcPr>
          <w:p w:rsidR="000A084D" w:rsidRPr="000F6D04" w:rsidRDefault="000A084D" w:rsidP="008A4B08">
            <w:pPr>
              <w:pStyle w:val="Heading2"/>
              <w:rPr>
                <w:rFonts w:ascii="Times New Roman" w:hAnsi="Times New Roman"/>
                <w:sz w:val="28"/>
              </w:rPr>
            </w:pPr>
          </w:p>
        </w:tc>
      </w:tr>
    </w:tbl>
    <w:p w:rsidR="000A084D" w:rsidRPr="000F6D04" w:rsidRDefault="000A084D" w:rsidP="000F6D04">
      <w:pPr>
        <w:rPr>
          <w:i/>
          <w:iCs/>
        </w:rPr>
      </w:pPr>
    </w:p>
    <w:p w:rsidR="000A084D" w:rsidRDefault="000A084D" w:rsidP="000F6D04">
      <w:pPr>
        <w:jc w:val="center"/>
      </w:pPr>
      <w:r w:rsidRPr="000F6D04">
        <w:t xml:space="preserve">Kính gửi: </w:t>
      </w:r>
      <w:r>
        <w:t>Công ty Cổ phần Đầu tư Địa ốc Khang An</w:t>
      </w:r>
    </w:p>
    <w:p w:rsidR="000A084D" w:rsidRPr="000A084D" w:rsidRDefault="000A084D" w:rsidP="000F6D04">
      <w:pPr>
        <w:jc w:val="center"/>
        <w:rPr>
          <w:i/>
        </w:rPr>
      </w:pPr>
      <w:r w:rsidRPr="000A084D">
        <w:rPr>
          <w:i/>
        </w:rPr>
        <w:t xml:space="preserve">(Địa chỉ: Tầng trệt (G-BLK-3) Tòa nhà The Manor, 91 Nguyễn Hữu Cảnh, </w:t>
      </w:r>
    </w:p>
    <w:p w:rsidR="000A084D" w:rsidRPr="000F6D04" w:rsidRDefault="000A084D" w:rsidP="000F6D04">
      <w:pPr>
        <w:jc w:val="center"/>
        <w:rPr>
          <w:i/>
          <w:iCs/>
        </w:rPr>
      </w:pPr>
      <w:r w:rsidRPr="000A084D">
        <w:rPr>
          <w:i/>
        </w:rPr>
        <w:t>phường 22, quận Bình Thạnh, thành phố Hồ Chí Minh)</w:t>
      </w:r>
    </w:p>
    <w:p w:rsidR="000A084D" w:rsidRPr="000F6D04" w:rsidRDefault="000A084D" w:rsidP="000F6D04">
      <w:r w:rsidRPr="000F6D04">
        <w:tab/>
      </w:r>
    </w:p>
    <w:p w:rsidR="000A084D" w:rsidRDefault="000A084D" w:rsidP="000F6D04">
      <w:pPr>
        <w:spacing w:after="120"/>
      </w:pPr>
      <w:r w:rsidRPr="000F6D04">
        <w:tab/>
      </w:r>
      <w:r>
        <w:t>Bộ Xây dựng nhận được văn bản số 74/CV/KA ngày 10/11/2016 của Công ty Cổ phần Đầu tư Địa ốc Khang An về việc hướng dẫn cấp giấy phép xây dựng đối với trường hợp nhà li</w:t>
      </w:r>
      <w:r w:rsidR="00E86BB6">
        <w:t>ê</w:t>
      </w:r>
      <w:r>
        <w:t>n kế thuộc dự án khu dân cư Bình Tân, phường Tân Tạo A, quận Bình Tân, thành phố Hồ Chí Minh. Sau khi nghiên cứu, Bộ Xây dựng có ý kiến như sau:</w:t>
      </w:r>
    </w:p>
    <w:p w:rsidR="001B0EF9" w:rsidRDefault="000A084D" w:rsidP="00A77016">
      <w:pPr>
        <w:spacing w:after="120"/>
      </w:pPr>
      <w:r>
        <w:tab/>
      </w:r>
      <w:r w:rsidR="00A73205">
        <w:t>Dự án khu dân cư Bình Tân tại phường Tân Tạo A, quận Bình Tân (khu B)</w:t>
      </w:r>
      <w:r w:rsidR="00AB544E">
        <w:t xml:space="preserve"> </w:t>
      </w:r>
      <w:r w:rsidR="00A73205">
        <w:t>đã được Ủy ban nhân dân quận Bình Tân phê duyệt đồ án quy hoạch chi tiết xây dựng tỷ lệ 1/500 tại Quyết định số 2477/QĐ-UBND ngày 14/3/2014. Theo Quyết định số 2477/QĐ-UBND này</w:t>
      </w:r>
      <w:r w:rsidR="00A77016">
        <w:t xml:space="preserve"> và văn bản số 74/CV/KA nêu trên thì</w:t>
      </w:r>
      <w:r w:rsidR="00A73205">
        <w:t xml:space="preserve"> khu nhà ở thấp tầng gồm nhà liên kế phố 112 căn, tầng cao xây dựng tối đa 4 tầng (không kể tầng lửng và tầ</w:t>
      </w:r>
      <w:r w:rsidR="00E86BB6">
        <w:t>ng áp mái)</w:t>
      </w:r>
      <w:r w:rsidR="001B0EF9">
        <w:t>, t</w:t>
      </w:r>
      <w:r w:rsidR="00A77016">
        <w:t>ổng diện tích sàn xây dựng mỗi căn dưới  500 m</w:t>
      </w:r>
      <w:r w:rsidR="00A77016" w:rsidRPr="001B0EF9">
        <w:rPr>
          <w:vertAlign w:val="superscript"/>
        </w:rPr>
        <w:t>2</w:t>
      </w:r>
      <w:r w:rsidR="001B0EF9">
        <w:t>;</w:t>
      </w:r>
      <w:r w:rsidR="00A77016">
        <w:t xml:space="preserve"> các căn nhà liên kế được thiết kế theo phương án chung kết cấu móng và cột</w:t>
      </w:r>
      <w:r w:rsidR="001B0EF9">
        <w:t xml:space="preserve"> theo TCVN 9411:2012 và phù hợp t</w:t>
      </w:r>
      <w:r w:rsidR="00A77016">
        <w:t>heo quy định tại Khoản 2 Điều 2 Thông tư số 05/2015/TT-BXD ngày 30/10/2015 của Bộ Xây dựng quy định về quản lý chất lượng xây dựng và bảo trì nhà ở riêng lẻ</w:t>
      </w:r>
      <w:r w:rsidR="001B0EF9">
        <w:t>.</w:t>
      </w:r>
    </w:p>
    <w:p w:rsidR="00AB544E" w:rsidRDefault="001B0EF9" w:rsidP="001B0EF9">
      <w:pPr>
        <w:spacing w:after="120"/>
        <w:ind w:firstLine="720"/>
      </w:pPr>
      <w:r>
        <w:t>Do đó,</w:t>
      </w:r>
      <w:r w:rsidR="00A77016">
        <w:t xml:space="preserve"> </w:t>
      </w:r>
      <w:r>
        <w:t xml:space="preserve">các </w:t>
      </w:r>
      <w:r w:rsidR="00A77016">
        <w:t>công trình</w:t>
      </w:r>
      <w:r w:rsidR="00A73205">
        <w:t xml:space="preserve"> nhà liên kế </w:t>
      </w:r>
      <w:r w:rsidR="00A77016">
        <w:t>này thuộc đối tượng</w:t>
      </w:r>
      <w:r w:rsidR="00AD3648">
        <w:t xml:space="preserve"> miễn giấy phép xây dựng theo quy định tại Điểm đ Khoản 2 Điều 89 Luật Xây dựng năm 2014.</w:t>
      </w:r>
    </w:p>
    <w:p w:rsidR="00AD3648" w:rsidRDefault="00AD3648" w:rsidP="00AB544E">
      <w:pPr>
        <w:spacing w:after="120"/>
        <w:ind w:firstLine="720"/>
      </w:pPr>
      <w:r>
        <w:t>Trên đây là hướng dẫn của Bộ Xây dựng, đề nghị Công ty Cổ phần Đầu tư Địa ốc Khang An nghiên cứu, thực hiện./.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0A084D" w:rsidRPr="000F6D04" w:rsidTr="007A6842">
        <w:tc>
          <w:tcPr>
            <w:tcW w:w="4395" w:type="dxa"/>
          </w:tcPr>
          <w:p w:rsidR="000A084D" w:rsidRPr="000F6D04" w:rsidRDefault="000A084D" w:rsidP="008A4B08">
            <w:pPr>
              <w:rPr>
                <w:b/>
                <w:i/>
                <w:sz w:val="24"/>
              </w:rPr>
            </w:pPr>
            <w:r w:rsidRPr="000F6D04">
              <w:rPr>
                <w:b/>
                <w:i/>
                <w:sz w:val="24"/>
              </w:rPr>
              <w:t>Nơi nhận:</w:t>
            </w:r>
          </w:p>
          <w:p w:rsidR="000A084D" w:rsidRDefault="000A084D" w:rsidP="008A4B08">
            <w:pPr>
              <w:ind w:left="312" w:hanging="136"/>
              <w:rPr>
                <w:sz w:val="24"/>
              </w:rPr>
            </w:pPr>
            <w:r w:rsidRPr="000F6D04">
              <w:rPr>
                <w:sz w:val="24"/>
              </w:rPr>
              <w:t>- Như trên;</w:t>
            </w:r>
          </w:p>
          <w:p w:rsidR="00642206" w:rsidRPr="000F6D04" w:rsidRDefault="00642206" w:rsidP="00642206">
            <w:pPr>
              <w:ind w:left="312" w:hanging="136"/>
              <w:rPr>
                <w:sz w:val="24"/>
              </w:rPr>
            </w:pPr>
            <w:r>
              <w:rPr>
                <w:sz w:val="24"/>
              </w:rPr>
              <w:t>- TT Lê Quang Hùng (để b/c);</w:t>
            </w:r>
          </w:p>
          <w:p w:rsidR="000A084D" w:rsidRPr="000F6D04" w:rsidRDefault="000A084D" w:rsidP="00642206">
            <w:pPr>
              <w:ind w:left="312" w:hanging="136"/>
              <w:rPr>
                <w:b/>
                <w:sz w:val="24"/>
              </w:rPr>
            </w:pPr>
            <w:r w:rsidRPr="000F6D04">
              <w:rPr>
                <w:sz w:val="24"/>
              </w:rPr>
              <w:t>- Lưu: VT, Cục QLHĐXD (NLĐ - 0</w:t>
            </w:r>
            <w:r w:rsidR="00642206">
              <w:rPr>
                <w:sz w:val="24"/>
              </w:rPr>
              <w:t>4</w:t>
            </w:r>
            <w:r w:rsidRPr="000F6D04">
              <w:rPr>
                <w:sz w:val="24"/>
              </w:rPr>
              <w:t>).</w:t>
            </w:r>
          </w:p>
        </w:tc>
        <w:tc>
          <w:tcPr>
            <w:tcW w:w="4819" w:type="dxa"/>
          </w:tcPr>
          <w:p w:rsidR="000A084D" w:rsidRPr="000F6D04" w:rsidRDefault="007A6842" w:rsidP="008A4B08">
            <w:pPr>
              <w:pStyle w:val="Heading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TL</w:t>
            </w:r>
            <w:r w:rsidR="000A084D" w:rsidRPr="000F6D04">
              <w:rPr>
                <w:rFonts w:ascii="Times New Roman" w:hAnsi="Times New Roman"/>
                <w:sz w:val="28"/>
              </w:rPr>
              <w:t xml:space="preserve">. BỘ TRƯỞNG </w:t>
            </w:r>
          </w:p>
          <w:p w:rsidR="000A084D" w:rsidRDefault="007A6842" w:rsidP="008A4B08">
            <w:pPr>
              <w:jc w:val="center"/>
              <w:rPr>
                <w:b/>
              </w:rPr>
            </w:pPr>
            <w:r>
              <w:rPr>
                <w:b/>
              </w:rPr>
              <w:t>KT. CỤC</w:t>
            </w:r>
            <w:r w:rsidR="000A084D" w:rsidRPr="000F6D04">
              <w:rPr>
                <w:b/>
              </w:rPr>
              <w:t xml:space="preserve"> TRƯỞNG</w:t>
            </w:r>
            <w:r>
              <w:rPr>
                <w:b/>
              </w:rPr>
              <w:t xml:space="preserve"> CỤC QUẢN LÝ HOẠT ĐỘNG XÂY DỰNG</w:t>
            </w:r>
          </w:p>
          <w:p w:rsidR="007A6842" w:rsidRPr="000F6D04" w:rsidRDefault="007A6842" w:rsidP="008A4B08">
            <w:pPr>
              <w:jc w:val="center"/>
              <w:rPr>
                <w:b/>
              </w:rPr>
            </w:pPr>
            <w:r>
              <w:rPr>
                <w:b/>
              </w:rPr>
              <w:t>PHÓ CỤC TRƯỞNG</w:t>
            </w:r>
          </w:p>
          <w:p w:rsidR="000A084D" w:rsidRPr="000F6D04" w:rsidRDefault="000A084D" w:rsidP="008A4B08">
            <w:pPr>
              <w:jc w:val="center"/>
              <w:rPr>
                <w:b/>
              </w:rPr>
            </w:pPr>
          </w:p>
          <w:p w:rsidR="000A084D" w:rsidRPr="00BA4CFD" w:rsidRDefault="000A084D" w:rsidP="008A4B08">
            <w:pPr>
              <w:jc w:val="center"/>
            </w:pPr>
            <w:bookmarkStart w:id="0" w:name="_GoBack"/>
          </w:p>
          <w:p w:rsidR="000A084D" w:rsidRPr="00BA4CFD" w:rsidRDefault="00BA4CFD" w:rsidP="008A4B08">
            <w:pPr>
              <w:jc w:val="center"/>
            </w:pPr>
            <w:r w:rsidRPr="00BA4CFD">
              <w:t>(đã ký)</w:t>
            </w:r>
          </w:p>
          <w:bookmarkEnd w:id="0"/>
          <w:p w:rsidR="000A084D" w:rsidRPr="000F6D04" w:rsidRDefault="000A084D" w:rsidP="008A4B08">
            <w:pPr>
              <w:jc w:val="center"/>
              <w:rPr>
                <w:b/>
              </w:rPr>
            </w:pPr>
          </w:p>
          <w:p w:rsidR="000A084D" w:rsidRPr="000F6D04" w:rsidRDefault="000A084D" w:rsidP="008A4B08">
            <w:pPr>
              <w:jc w:val="center"/>
              <w:rPr>
                <w:b/>
              </w:rPr>
            </w:pPr>
          </w:p>
          <w:p w:rsidR="000A084D" w:rsidRPr="000F6D04" w:rsidRDefault="007A6842" w:rsidP="008A4B08">
            <w:pPr>
              <w:jc w:val="center"/>
              <w:rPr>
                <w:b/>
              </w:rPr>
            </w:pPr>
            <w:r>
              <w:rPr>
                <w:b/>
              </w:rPr>
              <w:t>Bùi Văn Dưỡng</w:t>
            </w:r>
          </w:p>
        </w:tc>
      </w:tr>
    </w:tbl>
    <w:p w:rsidR="00A3051D" w:rsidRDefault="000A084D">
      <w:r w:rsidRPr="000F6D04">
        <w:t xml:space="preserve"> </w:t>
      </w:r>
    </w:p>
    <w:sectPr w:rsidR="00A3051D" w:rsidSect="00A77016">
      <w:pgSz w:w="12240" w:h="15840"/>
      <w:pgMar w:top="1134" w:right="1418" w:bottom="62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4D"/>
    <w:rsid w:val="000A084D"/>
    <w:rsid w:val="000F3ED1"/>
    <w:rsid w:val="001B0EF9"/>
    <w:rsid w:val="00233CF1"/>
    <w:rsid w:val="00436240"/>
    <w:rsid w:val="00463E2F"/>
    <w:rsid w:val="004A4D47"/>
    <w:rsid w:val="00540C04"/>
    <w:rsid w:val="0060437E"/>
    <w:rsid w:val="00642206"/>
    <w:rsid w:val="007A6842"/>
    <w:rsid w:val="007E706B"/>
    <w:rsid w:val="008325EF"/>
    <w:rsid w:val="008352B9"/>
    <w:rsid w:val="00A5522D"/>
    <w:rsid w:val="00A73205"/>
    <w:rsid w:val="00A77016"/>
    <w:rsid w:val="00AB544E"/>
    <w:rsid w:val="00AD3648"/>
    <w:rsid w:val="00BA4CFD"/>
    <w:rsid w:val="00C975C6"/>
    <w:rsid w:val="00CF73D8"/>
    <w:rsid w:val="00D814EB"/>
    <w:rsid w:val="00E86BB6"/>
    <w:rsid w:val="00F360EC"/>
    <w:rsid w:val="00F5222B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A084D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084D"/>
    <w:rPr>
      <w:rFonts w:ascii=".VnTimeH" w:eastAsia="Times New Roman" w:hAnsi=".VnTimeH" w:cs="Times New Roman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A084D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084D"/>
    <w:rPr>
      <w:rFonts w:ascii=".VnTimeH" w:eastAsia="Times New Roman" w:hAnsi=".VnTimeH" w:cs="Times New Roman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ALL_ONLYLOVE</cp:lastModifiedBy>
  <cp:revision>3</cp:revision>
  <cp:lastPrinted>2016-11-21T04:20:00Z</cp:lastPrinted>
  <dcterms:created xsi:type="dcterms:W3CDTF">2016-11-30T09:05:00Z</dcterms:created>
  <dcterms:modified xsi:type="dcterms:W3CDTF">2016-11-30T09:08:00Z</dcterms:modified>
</cp:coreProperties>
</file>