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A0050B" w:rsidTr="00201B84">
        <w:trPr>
          <w:trHeight w:val="709"/>
          <w:jc w:val="center"/>
        </w:trPr>
        <w:tc>
          <w:tcPr>
            <w:tcW w:w="4253" w:type="dxa"/>
          </w:tcPr>
          <w:p w:rsidR="00A0050B" w:rsidRPr="00DA6C1B" w:rsidRDefault="00A0050B" w:rsidP="00A0050B">
            <w:pPr>
              <w:jc w:val="center"/>
              <w:rPr>
                <w:b/>
                <w:sz w:val="26"/>
                <w:szCs w:val="26"/>
              </w:rPr>
            </w:pPr>
            <w:r w:rsidRPr="00DA6C1B">
              <w:rPr>
                <w:b/>
                <w:sz w:val="26"/>
                <w:szCs w:val="26"/>
              </w:rPr>
              <w:t>BỘ XÂY DỰNG</w:t>
            </w:r>
          </w:p>
          <w:p w:rsidR="00A0050B" w:rsidRPr="00A0050B" w:rsidRDefault="00A0050B" w:rsidP="00A0050B">
            <w:pPr>
              <w:jc w:val="center"/>
              <w:rPr>
                <w:b/>
              </w:rPr>
            </w:pPr>
            <w:r>
              <w:rPr>
                <w:b/>
                <w:noProof/>
                <w:sz w:val="24"/>
                <w:szCs w:val="24"/>
              </w:rPr>
              <mc:AlternateContent>
                <mc:Choice Requires="wps">
                  <w:drawing>
                    <wp:anchor distT="0" distB="0" distL="114300" distR="114300" simplePos="0" relativeHeight="251659264" behindDoc="0" locked="0" layoutInCell="1" allowOverlap="1" wp14:anchorId="566E3665" wp14:editId="5D29B667">
                      <wp:simplePos x="0" y="0"/>
                      <wp:positionH relativeFrom="column">
                        <wp:posOffset>637540</wp:posOffset>
                      </wp:positionH>
                      <wp:positionV relativeFrom="paragraph">
                        <wp:posOffset>19685</wp:posOffset>
                      </wp:positionV>
                      <wp:extent cx="1000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C3910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pt,1.55pt" to="12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" strokecolor="black [3213]"/>
                  </w:pict>
                </mc:Fallback>
              </mc:AlternateContent>
            </w:r>
          </w:p>
        </w:tc>
        <w:tc>
          <w:tcPr>
            <w:tcW w:w="5670" w:type="dxa"/>
          </w:tcPr>
          <w:p w:rsidR="00A0050B" w:rsidRPr="00DA6C1B" w:rsidRDefault="00A0050B" w:rsidP="00A0050B">
            <w:pPr>
              <w:jc w:val="center"/>
              <w:rPr>
                <w:b/>
                <w:sz w:val="26"/>
                <w:szCs w:val="26"/>
              </w:rPr>
            </w:pPr>
            <w:r w:rsidRPr="00DA6C1B">
              <w:rPr>
                <w:b/>
                <w:sz w:val="26"/>
                <w:szCs w:val="26"/>
              </w:rPr>
              <w:t>CỘNG HÒA XÃ HỘI CHỦ NGHĨA VIỆT NAM</w:t>
            </w:r>
          </w:p>
          <w:p w:rsidR="00A0050B" w:rsidRPr="00DA6C1B" w:rsidRDefault="00A0050B" w:rsidP="00A0050B">
            <w:pPr>
              <w:jc w:val="center"/>
              <w:rPr>
                <w:szCs w:val="28"/>
              </w:rPr>
            </w:pPr>
            <w:r w:rsidRPr="00DA6C1B">
              <w:rPr>
                <w:b/>
                <w:noProof/>
                <w:szCs w:val="28"/>
              </w:rPr>
              <mc:AlternateContent>
                <mc:Choice Requires="wps">
                  <w:drawing>
                    <wp:anchor distT="0" distB="0" distL="114300" distR="114300" simplePos="0" relativeHeight="251660288" behindDoc="0" locked="0" layoutInCell="1" allowOverlap="1" wp14:anchorId="244774F9" wp14:editId="645F28FB">
                      <wp:simplePos x="0" y="0"/>
                      <wp:positionH relativeFrom="column">
                        <wp:posOffset>652780</wp:posOffset>
                      </wp:positionH>
                      <wp:positionV relativeFrom="paragraph">
                        <wp:posOffset>224155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E46903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pt,17.65pt" to="220.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7zgEAAAMEAAAOAAAAZHJzL2Uyb0RvYy54bWysU9uO0zAQfUfiHyy/01ykXa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" strokecolor="black [3213]"/>
                  </w:pict>
                </mc:Fallback>
              </mc:AlternateContent>
            </w:r>
            <w:r w:rsidRPr="00DA6C1B">
              <w:rPr>
                <w:b/>
                <w:szCs w:val="28"/>
              </w:rPr>
              <w:t>Độc lập – Tự do – Hạnh phúc</w:t>
            </w:r>
          </w:p>
        </w:tc>
      </w:tr>
      <w:tr w:rsidR="003F178B" w:rsidTr="00201B84">
        <w:trPr>
          <w:trHeight w:val="302"/>
          <w:jc w:val="center"/>
        </w:trPr>
        <w:tc>
          <w:tcPr>
            <w:tcW w:w="4253" w:type="dxa"/>
          </w:tcPr>
          <w:p w:rsidR="003F178B" w:rsidRDefault="003F178B" w:rsidP="001847D1">
            <w:pPr>
              <w:jc w:val="center"/>
              <w:rPr>
                <w:sz w:val="26"/>
                <w:szCs w:val="26"/>
              </w:rPr>
            </w:pPr>
            <w:r w:rsidRPr="003F178B">
              <w:rPr>
                <w:sz w:val="26"/>
                <w:szCs w:val="26"/>
              </w:rPr>
              <w:t xml:space="preserve">Số: </w:t>
            </w:r>
            <w:r w:rsidR="00E70A98" w:rsidRPr="00E70A98">
              <w:rPr>
                <w:sz w:val="26"/>
                <w:szCs w:val="26"/>
              </w:rPr>
              <w:t>1950</w:t>
            </w:r>
            <w:r w:rsidR="004B4783">
              <w:rPr>
                <w:b/>
                <w:sz w:val="26"/>
                <w:szCs w:val="26"/>
              </w:rPr>
              <w:t>/</w:t>
            </w:r>
            <w:r w:rsidR="005A5498">
              <w:rPr>
                <w:sz w:val="26"/>
                <w:szCs w:val="26"/>
              </w:rPr>
              <w:t>BXD-</w:t>
            </w:r>
            <w:r w:rsidRPr="003F178B">
              <w:rPr>
                <w:sz w:val="26"/>
                <w:szCs w:val="26"/>
              </w:rPr>
              <w:t>HĐXD</w:t>
            </w:r>
          </w:p>
          <w:p w:rsidR="001C7C21" w:rsidRPr="008E01E0" w:rsidRDefault="001C7C21" w:rsidP="00201B84">
            <w:pPr>
              <w:jc w:val="center"/>
              <w:rPr>
                <w:sz w:val="24"/>
                <w:szCs w:val="24"/>
              </w:rPr>
            </w:pPr>
            <w:r w:rsidRPr="008E01E0">
              <w:rPr>
                <w:sz w:val="24"/>
                <w:szCs w:val="24"/>
              </w:rPr>
              <w:t xml:space="preserve">V/v </w:t>
            </w:r>
            <w:r w:rsidR="00201B84">
              <w:rPr>
                <w:sz w:val="24"/>
                <w:szCs w:val="24"/>
              </w:rPr>
              <w:t>tham gia ý kiến về “Quy định tạm thời về việc sử dụng thông tin công bố hàng năm về kết quả thực hiện của các nhà thầu xây lắp và tổ chức tư vấn xây dựng trong công tác lựa chọn nhà thầu tham gia các dự án đầu tư xây dựng do Bộ GTVT quản lý”</w:t>
            </w:r>
            <w:r w:rsidR="004B4783">
              <w:rPr>
                <w:sz w:val="24"/>
                <w:szCs w:val="24"/>
              </w:rPr>
              <w:t xml:space="preserve"> </w:t>
            </w:r>
          </w:p>
        </w:tc>
        <w:tc>
          <w:tcPr>
            <w:tcW w:w="5670" w:type="dxa"/>
          </w:tcPr>
          <w:p w:rsidR="003F178B" w:rsidRPr="003F178B" w:rsidRDefault="003F178B" w:rsidP="00E70A98">
            <w:pPr>
              <w:jc w:val="center"/>
              <w:rPr>
                <w:i/>
                <w:sz w:val="26"/>
                <w:szCs w:val="26"/>
              </w:rPr>
            </w:pPr>
            <w:r w:rsidRPr="003F178B">
              <w:rPr>
                <w:i/>
                <w:sz w:val="26"/>
                <w:szCs w:val="26"/>
              </w:rPr>
              <w:t>Hà Nội, ngày</w:t>
            </w:r>
            <w:r w:rsidR="00153756">
              <w:rPr>
                <w:i/>
                <w:sz w:val="26"/>
                <w:szCs w:val="26"/>
              </w:rPr>
              <w:t xml:space="preserve"> </w:t>
            </w:r>
            <w:r w:rsidR="004B4783" w:rsidRPr="00E70A98">
              <w:rPr>
                <w:i/>
                <w:sz w:val="26"/>
                <w:szCs w:val="26"/>
              </w:rPr>
              <w:t xml:space="preserve"> </w:t>
            </w:r>
            <w:r w:rsidR="00E70A98" w:rsidRPr="00E70A98">
              <w:rPr>
                <w:i/>
                <w:sz w:val="26"/>
                <w:szCs w:val="26"/>
              </w:rPr>
              <w:t>07</w:t>
            </w:r>
            <w:r w:rsidR="004B4783">
              <w:rPr>
                <w:b/>
                <w:i/>
                <w:sz w:val="26"/>
                <w:szCs w:val="26"/>
              </w:rPr>
              <w:t xml:space="preserve">  </w:t>
            </w:r>
            <w:r w:rsidRPr="003F178B">
              <w:rPr>
                <w:i/>
                <w:sz w:val="26"/>
                <w:szCs w:val="26"/>
              </w:rPr>
              <w:t xml:space="preserve"> tháng </w:t>
            </w:r>
            <w:r w:rsidR="00BC0C0B">
              <w:rPr>
                <w:i/>
                <w:sz w:val="26"/>
                <w:szCs w:val="26"/>
              </w:rPr>
              <w:t xml:space="preserve"> </w:t>
            </w:r>
            <w:r w:rsidR="00E70A98">
              <w:rPr>
                <w:i/>
                <w:sz w:val="26"/>
                <w:szCs w:val="26"/>
              </w:rPr>
              <w:t>9</w:t>
            </w:r>
            <w:r w:rsidR="00BC0C0B">
              <w:rPr>
                <w:i/>
                <w:sz w:val="26"/>
                <w:szCs w:val="26"/>
              </w:rPr>
              <w:t xml:space="preserve">   </w:t>
            </w:r>
            <w:r w:rsidR="004B4783">
              <w:rPr>
                <w:i/>
                <w:sz w:val="26"/>
                <w:szCs w:val="26"/>
              </w:rPr>
              <w:t>năm 2016</w:t>
            </w:r>
          </w:p>
        </w:tc>
      </w:tr>
    </w:tbl>
    <w:p w:rsidR="00463582" w:rsidRDefault="00463582" w:rsidP="00C458BC">
      <w:pPr>
        <w:spacing w:after="0" w:line="240" w:lineRule="auto"/>
        <w:jc w:val="center"/>
      </w:pPr>
    </w:p>
    <w:p w:rsidR="00A0050B" w:rsidRDefault="00A0050B" w:rsidP="00C458BC">
      <w:pPr>
        <w:spacing w:after="0" w:line="240" w:lineRule="auto"/>
        <w:jc w:val="center"/>
      </w:pPr>
      <w:r>
        <w:t xml:space="preserve">Kính gửi: </w:t>
      </w:r>
      <w:r w:rsidR="00201B84">
        <w:t>Bộ Giao thông Vận tải</w:t>
      </w:r>
    </w:p>
    <w:p w:rsidR="00A0050B" w:rsidRDefault="00A0050B" w:rsidP="00C458BC">
      <w:pPr>
        <w:spacing w:after="0" w:line="240" w:lineRule="auto"/>
        <w:jc w:val="center"/>
      </w:pPr>
    </w:p>
    <w:p w:rsidR="00A0050B" w:rsidRPr="00D976CC" w:rsidRDefault="001E0772" w:rsidP="00C458BC">
      <w:pPr>
        <w:spacing w:after="0" w:line="240" w:lineRule="auto"/>
        <w:ind w:firstLine="567"/>
        <w:jc w:val="both"/>
        <w:rPr>
          <w:szCs w:val="28"/>
        </w:rPr>
      </w:pPr>
      <w:r w:rsidRPr="00201B84">
        <w:rPr>
          <w:szCs w:val="28"/>
        </w:rPr>
        <w:t xml:space="preserve">Bộ Xây dựng nhận được </w:t>
      </w:r>
      <w:r w:rsidR="00E35619" w:rsidRPr="00201B84">
        <w:rPr>
          <w:szCs w:val="28"/>
        </w:rPr>
        <w:t>V</w:t>
      </w:r>
      <w:r w:rsidR="00DA6C1B" w:rsidRPr="00201B84">
        <w:rPr>
          <w:szCs w:val="28"/>
        </w:rPr>
        <w:t xml:space="preserve">ăn bản số </w:t>
      </w:r>
      <w:r w:rsidR="00201B84" w:rsidRPr="00201B84">
        <w:rPr>
          <w:szCs w:val="28"/>
        </w:rPr>
        <w:t>8058</w:t>
      </w:r>
      <w:r w:rsidR="00FC321C" w:rsidRPr="00201B84">
        <w:rPr>
          <w:szCs w:val="28"/>
        </w:rPr>
        <w:t>/</w:t>
      </w:r>
      <w:r w:rsidR="00201B84" w:rsidRPr="00201B84">
        <w:rPr>
          <w:szCs w:val="28"/>
        </w:rPr>
        <w:t>BGTVT-CQLXD</w:t>
      </w:r>
      <w:r w:rsidR="00DA6C1B" w:rsidRPr="00201B84">
        <w:rPr>
          <w:szCs w:val="28"/>
        </w:rPr>
        <w:t xml:space="preserve"> ngày </w:t>
      </w:r>
      <w:r w:rsidR="00201B84" w:rsidRPr="00201B84">
        <w:rPr>
          <w:szCs w:val="28"/>
        </w:rPr>
        <w:t>13</w:t>
      </w:r>
      <w:r w:rsidR="004B4783" w:rsidRPr="00201B84">
        <w:rPr>
          <w:szCs w:val="28"/>
        </w:rPr>
        <w:t>/</w:t>
      </w:r>
      <w:r w:rsidR="00201B84" w:rsidRPr="00201B84">
        <w:rPr>
          <w:szCs w:val="28"/>
        </w:rPr>
        <w:t>7</w:t>
      </w:r>
      <w:r w:rsidR="004B4783" w:rsidRPr="00201B84">
        <w:rPr>
          <w:szCs w:val="28"/>
        </w:rPr>
        <w:t>/2016</w:t>
      </w:r>
      <w:r w:rsidR="00DA6C1B" w:rsidRPr="00201B84">
        <w:rPr>
          <w:szCs w:val="28"/>
        </w:rPr>
        <w:t xml:space="preserve"> của </w:t>
      </w:r>
      <w:r w:rsidR="00201B84" w:rsidRPr="00201B84">
        <w:rPr>
          <w:szCs w:val="28"/>
        </w:rPr>
        <w:t>Bộ Giao thông Vận tải xin ý kiến về “Quy định tạm thời về việc sử dụng thông tin công bố hàng năm về kết quả thực hiện của các nhà thầu xây lắp và tổ chức tư vấn xây dựng trong công tác lựa chọn nhà thầu tham gia các dự án đầu tư xây dựng do Bộ GTVT quản lý”</w:t>
      </w:r>
      <w:r w:rsidR="00FC321C" w:rsidRPr="00201B84">
        <w:rPr>
          <w:szCs w:val="28"/>
        </w:rPr>
        <w:t xml:space="preserve">. Sau khi </w:t>
      </w:r>
      <w:r w:rsidR="00201B84" w:rsidRPr="00201B84">
        <w:rPr>
          <w:szCs w:val="28"/>
        </w:rPr>
        <w:t>nghiên cứu</w:t>
      </w:r>
      <w:r w:rsidRPr="00D976CC">
        <w:rPr>
          <w:szCs w:val="28"/>
        </w:rPr>
        <w:t>,</w:t>
      </w:r>
      <w:r w:rsidR="00A0050B" w:rsidRPr="00D976CC">
        <w:rPr>
          <w:szCs w:val="28"/>
        </w:rPr>
        <w:t xml:space="preserve"> </w:t>
      </w:r>
      <w:r w:rsidR="00DA6C1B" w:rsidRPr="00D976CC">
        <w:rPr>
          <w:szCs w:val="28"/>
        </w:rPr>
        <w:t xml:space="preserve">Bộ Xây </w:t>
      </w:r>
      <w:r w:rsidR="00A0050B" w:rsidRPr="00D976CC">
        <w:rPr>
          <w:szCs w:val="28"/>
        </w:rPr>
        <w:t>dựng có ý kiến như sau:</w:t>
      </w:r>
    </w:p>
    <w:p w:rsidR="00AA4E69" w:rsidRDefault="00201B84" w:rsidP="00AA4E69">
      <w:pPr>
        <w:spacing w:before="120" w:after="0" w:line="240" w:lineRule="auto"/>
        <w:ind w:firstLine="567"/>
        <w:jc w:val="both"/>
      </w:pPr>
      <w:r>
        <w:rPr>
          <w:szCs w:val="28"/>
        </w:rPr>
        <w:t xml:space="preserve">Theo quy định của Luật Xây dựng năm 2014 và Nghị định số 59/2015/NĐ-CP của Chính phủ về quản lý dự án đầu tư xây dựng (sau đây viết là Nghị định 59/CP), tổ chức tham gia hoạt động xây dựng </w:t>
      </w:r>
      <w:r w:rsidR="00B335C8">
        <w:rPr>
          <w:szCs w:val="28"/>
        </w:rPr>
        <w:t xml:space="preserve">phải được cấp chứng chỉ năng lực hoạt động xây dựng </w:t>
      </w:r>
      <w:r w:rsidR="00B335C8">
        <w:t>và được đăng tải thông tin về năng lực hoạt động xây dựng</w:t>
      </w:r>
      <w:r>
        <w:t xml:space="preserve">. </w:t>
      </w:r>
    </w:p>
    <w:p w:rsidR="00201B84" w:rsidRDefault="00201B84" w:rsidP="00AA4E69">
      <w:pPr>
        <w:spacing w:before="120" w:after="0" w:line="240" w:lineRule="auto"/>
        <w:ind w:firstLine="567"/>
        <w:jc w:val="both"/>
      </w:pPr>
      <w:r>
        <w:t xml:space="preserve">Đến nay, Bộ Xây dựng đã ban hành Thông tư số 04/2016/TT-BXD quy định về giải thưởng về chất lượng công trình xây dựng và Thông tư số 17/2016/TT-BXD hướng dẫn về năng lực của tổ chức, cá nhân tham gia hoạt động xây dựng trong đó </w:t>
      </w:r>
      <w:r w:rsidR="00B335C8">
        <w:t xml:space="preserve">có hướng dẫn về đánh giá năng lực của tổ chức (hạng I, hạng II, hạng III), đăng tải </w:t>
      </w:r>
      <w:r w:rsidR="00D21CB5">
        <w:t xml:space="preserve"> thông tin về năng lực hoạt động xây dựng của tổ chức là cơ sở tra cứu, lựa chọn tổ chức tham gia hoạt động xây dựng trong phạm vi cả nước</w:t>
      </w:r>
      <w:r w:rsidR="00B335C8">
        <w:t>;</w:t>
      </w:r>
      <w:r w:rsidR="00D21CB5">
        <w:t xml:space="preserve"> các ưu tiên trong quá trình lựa chọn nhà thầu trong hoạt động xây dựng đối với các nhà thầu được tặng giải thưởng về chất lượng công trình xây dựng. </w:t>
      </w:r>
    </w:p>
    <w:p w:rsidR="00660191" w:rsidRDefault="00B335C8" w:rsidP="00D21CB5">
      <w:pPr>
        <w:spacing w:before="120" w:after="0" w:line="240" w:lineRule="auto"/>
        <w:ind w:firstLine="567"/>
        <w:jc w:val="both"/>
        <w:rPr>
          <w:szCs w:val="28"/>
        </w:rPr>
      </w:pPr>
      <w:r>
        <w:t>Vì vậy, đ</w:t>
      </w:r>
      <w:r w:rsidR="00D21CB5">
        <w:t>ề nghị Bộ Giao thông Vận tải nghiên cứu, đối chiếu các quy định nêu trên để hướng dẫn việc lựa chọn nhà thầu tham gia các dự án đầu tư xây dựng do Bộ Giao thông Vận tải quản lý phù hợp với các quy định của pháp luật hiện hành</w:t>
      </w:r>
      <w:r w:rsidR="00660191" w:rsidRPr="00D976CC">
        <w:rPr>
          <w:szCs w:val="28"/>
        </w:rPr>
        <w:t>./.</w:t>
      </w:r>
    </w:p>
    <w:p w:rsidR="00D21CB5" w:rsidRPr="00D976CC" w:rsidRDefault="00D21CB5" w:rsidP="00D21CB5">
      <w:pPr>
        <w:spacing w:before="120" w:after="0" w:line="240" w:lineRule="auto"/>
        <w:ind w:firstLine="567"/>
        <w:jc w:val="both"/>
        <w:rPr>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767"/>
      </w:tblGrid>
      <w:tr w:rsidR="00660191" w:rsidTr="008E3A31">
        <w:trPr>
          <w:jc w:val="center"/>
        </w:trPr>
        <w:tc>
          <w:tcPr>
            <w:tcW w:w="4588" w:type="dxa"/>
          </w:tcPr>
          <w:p w:rsidR="00A711A0" w:rsidRDefault="00A711A0" w:rsidP="00660191">
            <w:pPr>
              <w:jc w:val="both"/>
              <w:rPr>
                <w:b/>
                <w:i/>
                <w:sz w:val="24"/>
                <w:szCs w:val="24"/>
              </w:rPr>
            </w:pPr>
          </w:p>
          <w:p w:rsidR="00660191" w:rsidRPr="00660191" w:rsidRDefault="00660191" w:rsidP="00660191">
            <w:pPr>
              <w:jc w:val="both"/>
              <w:rPr>
                <w:b/>
                <w:i/>
                <w:sz w:val="24"/>
                <w:szCs w:val="24"/>
              </w:rPr>
            </w:pPr>
            <w:r w:rsidRPr="00660191">
              <w:rPr>
                <w:b/>
                <w:i/>
                <w:sz w:val="24"/>
                <w:szCs w:val="24"/>
              </w:rPr>
              <w:t>Nơi nhận:</w:t>
            </w:r>
          </w:p>
          <w:p w:rsidR="00660191" w:rsidRDefault="00660191" w:rsidP="00660191">
            <w:pPr>
              <w:jc w:val="both"/>
              <w:rPr>
                <w:sz w:val="22"/>
              </w:rPr>
            </w:pPr>
            <w:r w:rsidRPr="00660191">
              <w:rPr>
                <w:sz w:val="22"/>
              </w:rPr>
              <w:t>- Như trên;</w:t>
            </w:r>
          </w:p>
          <w:p w:rsidR="00D21CB5" w:rsidRDefault="00D21CB5" w:rsidP="00660191">
            <w:pPr>
              <w:jc w:val="both"/>
              <w:rPr>
                <w:sz w:val="22"/>
              </w:rPr>
            </w:pPr>
            <w:r>
              <w:rPr>
                <w:sz w:val="22"/>
              </w:rPr>
              <w:t>- Bộ trưởng (để b/c);</w:t>
            </w:r>
          </w:p>
          <w:p w:rsidR="00660191" w:rsidRDefault="00660191" w:rsidP="005A5498">
            <w:pPr>
              <w:ind w:left="-87" w:firstLine="87"/>
              <w:jc w:val="both"/>
            </w:pPr>
            <w:r w:rsidRPr="00660191">
              <w:rPr>
                <w:sz w:val="22"/>
              </w:rPr>
              <w:t xml:space="preserve">- </w:t>
            </w:r>
            <w:r w:rsidR="00A711A0">
              <w:rPr>
                <w:sz w:val="22"/>
              </w:rPr>
              <w:t>Lưu</w:t>
            </w:r>
            <w:r w:rsidR="00AA4E69">
              <w:rPr>
                <w:sz w:val="22"/>
              </w:rPr>
              <w:t>:</w:t>
            </w:r>
            <w:r w:rsidR="00A711A0">
              <w:rPr>
                <w:sz w:val="22"/>
              </w:rPr>
              <w:t xml:space="preserve"> </w:t>
            </w:r>
            <w:r w:rsidR="001847D1">
              <w:rPr>
                <w:sz w:val="22"/>
              </w:rPr>
              <w:t>V</w:t>
            </w:r>
            <w:r w:rsidR="005A5498">
              <w:rPr>
                <w:sz w:val="22"/>
              </w:rPr>
              <w:t>T, HĐXD</w:t>
            </w:r>
            <w:r w:rsidR="00F36CE9" w:rsidRPr="00AA4E69">
              <w:rPr>
                <w:sz w:val="22"/>
                <w:vertAlign w:val="subscript"/>
              </w:rPr>
              <w:t>(DMH)</w:t>
            </w:r>
            <w:r w:rsidR="005A5498">
              <w:rPr>
                <w:sz w:val="22"/>
              </w:rPr>
              <w:t>.</w:t>
            </w:r>
          </w:p>
        </w:tc>
        <w:tc>
          <w:tcPr>
            <w:tcW w:w="4767" w:type="dxa"/>
          </w:tcPr>
          <w:p w:rsidR="00660191" w:rsidRDefault="008E3A31" w:rsidP="00660191">
            <w:pPr>
              <w:jc w:val="center"/>
              <w:rPr>
                <w:b/>
                <w:sz w:val="26"/>
                <w:szCs w:val="26"/>
              </w:rPr>
            </w:pPr>
            <w:r>
              <w:rPr>
                <w:b/>
                <w:sz w:val="26"/>
                <w:szCs w:val="26"/>
              </w:rPr>
              <w:t>KT</w:t>
            </w:r>
            <w:r w:rsidR="005A5498">
              <w:rPr>
                <w:b/>
                <w:sz w:val="26"/>
                <w:szCs w:val="26"/>
              </w:rPr>
              <w:t>. BỘ</w:t>
            </w:r>
            <w:r w:rsidR="00660191" w:rsidRPr="00660191">
              <w:rPr>
                <w:b/>
                <w:sz w:val="26"/>
                <w:szCs w:val="26"/>
              </w:rPr>
              <w:t xml:space="preserve"> TRƯỞNG</w:t>
            </w:r>
          </w:p>
          <w:p w:rsidR="005A5498" w:rsidRPr="00660191" w:rsidRDefault="008E3A31" w:rsidP="00660191">
            <w:pPr>
              <w:jc w:val="center"/>
              <w:rPr>
                <w:b/>
                <w:sz w:val="26"/>
                <w:szCs w:val="26"/>
              </w:rPr>
            </w:pPr>
            <w:r>
              <w:rPr>
                <w:b/>
                <w:sz w:val="26"/>
                <w:szCs w:val="26"/>
              </w:rPr>
              <w:t>THỨ TRƯỞNG</w:t>
            </w:r>
          </w:p>
          <w:p w:rsidR="004B0A4E" w:rsidRDefault="004B0A4E" w:rsidP="008E3A31">
            <w:pPr>
              <w:spacing w:before="120" w:after="120"/>
              <w:jc w:val="center"/>
            </w:pPr>
            <w:bookmarkStart w:id="0" w:name="_GoBack"/>
            <w:bookmarkEnd w:id="0"/>
          </w:p>
          <w:p w:rsidR="00BE66D6" w:rsidRPr="004B0A4E" w:rsidRDefault="004B0A4E" w:rsidP="008E3A31">
            <w:pPr>
              <w:spacing w:before="120" w:after="120"/>
              <w:jc w:val="center"/>
            </w:pPr>
            <w:r w:rsidRPr="004B0A4E">
              <w:t>(đã ký)</w:t>
            </w:r>
          </w:p>
          <w:p w:rsidR="00660191" w:rsidRPr="00660191" w:rsidRDefault="00660191" w:rsidP="00660191">
            <w:pPr>
              <w:spacing w:before="120"/>
              <w:jc w:val="center"/>
              <w:rPr>
                <w:b/>
              </w:rPr>
            </w:pPr>
          </w:p>
          <w:p w:rsidR="00660191" w:rsidRPr="00660191" w:rsidRDefault="00D21CB5" w:rsidP="005A5498">
            <w:pPr>
              <w:spacing w:before="120"/>
              <w:jc w:val="center"/>
              <w:rPr>
                <w:b/>
              </w:rPr>
            </w:pPr>
            <w:r>
              <w:rPr>
                <w:b/>
              </w:rPr>
              <w:t>Lê Quang Hùng</w:t>
            </w:r>
          </w:p>
        </w:tc>
      </w:tr>
    </w:tbl>
    <w:p w:rsidR="00134414" w:rsidRDefault="00134414"/>
    <w:sectPr w:rsidR="00134414" w:rsidSect="00766472">
      <w:pgSz w:w="11907" w:h="16840" w:code="9"/>
      <w:pgMar w:top="1134" w:right="85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1A83"/>
    <w:multiLevelType w:val="hybridMultilevel"/>
    <w:tmpl w:val="343AF352"/>
    <w:lvl w:ilvl="0" w:tplc="B89859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B"/>
    <w:rsid w:val="000144FC"/>
    <w:rsid w:val="000159DD"/>
    <w:rsid w:val="00024901"/>
    <w:rsid w:val="000B6A13"/>
    <w:rsid w:val="000D632E"/>
    <w:rsid w:val="000E6A95"/>
    <w:rsid w:val="00112137"/>
    <w:rsid w:val="00113712"/>
    <w:rsid w:val="00134414"/>
    <w:rsid w:val="00153756"/>
    <w:rsid w:val="001847D1"/>
    <w:rsid w:val="001B0572"/>
    <w:rsid w:val="001C7C21"/>
    <w:rsid w:val="001E0772"/>
    <w:rsid w:val="00201B84"/>
    <w:rsid w:val="0021426B"/>
    <w:rsid w:val="00246BEC"/>
    <w:rsid w:val="00262254"/>
    <w:rsid w:val="002A3CE4"/>
    <w:rsid w:val="00307BDE"/>
    <w:rsid w:val="00340151"/>
    <w:rsid w:val="0034798C"/>
    <w:rsid w:val="003C602E"/>
    <w:rsid w:val="003F178B"/>
    <w:rsid w:val="00463582"/>
    <w:rsid w:val="004A48B5"/>
    <w:rsid w:val="004B0A4E"/>
    <w:rsid w:val="004B4783"/>
    <w:rsid w:val="004E4AE1"/>
    <w:rsid w:val="00516A6D"/>
    <w:rsid w:val="00543710"/>
    <w:rsid w:val="005875E7"/>
    <w:rsid w:val="005A5498"/>
    <w:rsid w:val="005D3DEC"/>
    <w:rsid w:val="006158A0"/>
    <w:rsid w:val="006242B3"/>
    <w:rsid w:val="006410B6"/>
    <w:rsid w:val="00660191"/>
    <w:rsid w:val="006A2D9C"/>
    <w:rsid w:val="006C5A13"/>
    <w:rsid w:val="00766472"/>
    <w:rsid w:val="00770028"/>
    <w:rsid w:val="007A451B"/>
    <w:rsid w:val="007F7F7A"/>
    <w:rsid w:val="00866E5F"/>
    <w:rsid w:val="00871204"/>
    <w:rsid w:val="00881465"/>
    <w:rsid w:val="008B748F"/>
    <w:rsid w:val="008E01E0"/>
    <w:rsid w:val="008E3A31"/>
    <w:rsid w:val="008F2A4D"/>
    <w:rsid w:val="008F47DB"/>
    <w:rsid w:val="00940308"/>
    <w:rsid w:val="00980F4B"/>
    <w:rsid w:val="009870B8"/>
    <w:rsid w:val="00987D51"/>
    <w:rsid w:val="009E4E33"/>
    <w:rsid w:val="009F7DC0"/>
    <w:rsid w:val="00A0050B"/>
    <w:rsid w:val="00A711A0"/>
    <w:rsid w:val="00A80CCC"/>
    <w:rsid w:val="00A8135B"/>
    <w:rsid w:val="00A938ED"/>
    <w:rsid w:val="00AA4E69"/>
    <w:rsid w:val="00AD50B0"/>
    <w:rsid w:val="00AD5CD5"/>
    <w:rsid w:val="00B05F30"/>
    <w:rsid w:val="00B2031F"/>
    <w:rsid w:val="00B335C8"/>
    <w:rsid w:val="00B912D2"/>
    <w:rsid w:val="00BC0C0B"/>
    <w:rsid w:val="00BE66D6"/>
    <w:rsid w:val="00C22BFD"/>
    <w:rsid w:val="00C458BC"/>
    <w:rsid w:val="00C4722E"/>
    <w:rsid w:val="00C64590"/>
    <w:rsid w:val="00C82942"/>
    <w:rsid w:val="00D14466"/>
    <w:rsid w:val="00D21CB5"/>
    <w:rsid w:val="00D46EEF"/>
    <w:rsid w:val="00D976CC"/>
    <w:rsid w:val="00DA2582"/>
    <w:rsid w:val="00DA6C1B"/>
    <w:rsid w:val="00E0269A"/>
    <w:rsid w:val="00E35619"/>
    <w:rsid w:val="00E65BBA"/>
    <w:rsid w:val="00E70A98"/>
    <w:rsid w:val="00E91CBA"/>
    <w:rsid w:val="00EC01B4"/>
    <w:rsid w:val="00EE0966"/>
    <w:rsid w:val="00EE20DB"/>
    <w:rsid w:val="00EE3F37"/>
    <w:rsid w:val="00F36CE9"/>
    <w:rsid w:val="00F6119B"/>
    <w:rsid w:val="00FC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D97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D97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ALL_ONLYLOVE</cp:lastModifiedBy>
  <cp:revision>4</cp:revision>
  <cp:lastPrinted>2016-08-11T04:28:00Z</cp:lastPrinted>
  <dcterms:created xsi:type="dcterms:W3CDTF">2016-09-07T08:31:00Z</dcterms:created>
  <dcterms:modified xsi:type="dcterms:W3CDTF">2016-09-08T02:38:00Z</dcterms:modified>
</cp:coreProperties>
</file>