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5B6C62" w:rsidTr="00263CA2">
        <w:trPr>
          <w:trHeight w:val="845"/>
        </w:trPr>
        <w:tc>
          <w:tcPr>
            <w:tcW w:w="3794" w:type="dxa"/>
          </w:tcPr>
          <w:p w:rsidR="005B6C62" w:rsidRPr="00DA6C1B" w:rsidRDefault="005B6C62" w:rsidP="00263CA2">
            <w:pPr>
              <w:jc w:val="center"/>
              <w:rPr>
                <w:b/>
                <w:sz w:val="26"/>
                <w:szCs w:val="26"/>
              </w:rPr>
            </w:pPr>
            <w:r w:rsidRPr="00DA6C1B">
              <w:rPr>
                <w:b/>
                <w:sz w:val="26"/>
                <w:szCs w:val="26"/>
              </w:rPr>
              <w:t>BỘ XÂY DỰNG</w:t>
            </w:r>
          </w:p>
          <w:p w:rsidR="005B6C62" w:rsidRPr="00A0050B" w:rsidRDefault="005B6C62" w:rsidP="00263CA2">
            <w:pPr>
              <w:jc w:val="center"/>
              <w:rPr>
                <w:b/>
              </w:rPr>
            </w:pPr>
            <w:r>
              <w:rPr>
                <w:b/>
                <w:noProof/>
                <w:sz w:val="24"/>
                <w:szCs w:val="24"/>
              </w:rPr>
              <mc:AlternateContent>
                <mc:Choice Requires="wps">
                  <w:drawing>
                    <wp:anchor distT="0" distB="0" distL="114300" distR="114300" simplePos="0" relativeHeight="251659264" behindDoc="0" locked="0" layoutInCell="1" allowOverlap="1" wp14:anchorId="38226079" wp14:editId="19DBE132">
                      <wp:simplePos x="0" y="0"/>
                      <wp:positionH relativeFrom="column">
                        <wp:posOffset>614680</wp:posOffset>
                      </wp:positionH>
                      <wp:positionV relativeFrom="paragraph">
                        <wp:posOffset>19685</wp:posOffset>
                      </wp:positionV>
                      <wp:extent cx="1000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B0A7C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4pt,1.55pt" to="12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" strokecolor="black [3213]"/>
                  </w:pict>
                </mc:Fallback>
              </mc:AlternateContent>
            </w:r>
          </w:p>
        </w:tc>
        <w:tc>
          <w:tcPr>
            <w:tcW w:w="5670" w:type="dxa"/>
          </w:tcPr>
          <w:p w:rsidR="005B6C62" w:rsidRPr="00DA6C1B" w:rsidRDefault="005B6C62" w:rsidP="00263CA2">
            <w:pPr>
              <w:jc w:val="center"/>
              <w:rPr>
                <w:b/>
                <w:sz w:val="26"/>
                <w:szCs w:val="26"/>
              </w:rPr>
            </w:pPr>
            <w:r w:rsidRPr="00DA6C1B">
              <w:rPr>
                <w:b/>
                <w:sz w:val="26"/>
                <w:szCs w:val="26"/>
              </w:rPr>
              <w:t>CỘNG HÒA XÃ HỘI CHỦ NGHĨA VIỆT NAM</w:t>
            </w:r>
          </w:p>
          <w:p w:rsidR="005B6C62" w:rsidRPr="00DA6C1B" w:rsidRDefault="005B6C62" w:rsidP="00263CA2">
            <w:pPr>
              <w:jc w:val="center"/>
              <w:rPr>
                <w:szCs w:val="28"/>
              </w:rPr>
            </w:pPr>
            <w:r w:rsidRPr="00DA6C1B">
              <w:rPr>
                <w:b/>
                <w:noProof/>
                <w:szCs w:val="28"/>
              </w:rPr>
              <mc:AlternateContent>
                <mc:Choice Requires="wps">
                  <w:drawing>
                    <wp:anchor distT="0" distB="0" distL="114300" distR="114300" simplePos="0" relativeHeight="251660288" behindDoc="0" locked="0" layoutInCell="1" allowOverlap="1" wp14:anchorId="235AE979" wp14:editId="71BB842C">
                      <wp:simplePos x="0" y="0"/>
                      <wp:positionH relativeFrom="column">
                        <wp:posOffset>668020</wp:posOffset>
                      </wp:positionH>
                      <wp:positionV relativeFrom="paragraph">
                        <wp:posOffset>224155</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34842E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pt,17.65pt" to="222.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7zgEAAAMEAAAOAAAAZHJzL2Uyb0RvYy54bWysU9uO0zAQfUfiHyy/01ykXa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" strokecolor="black [3213]"/>
                  </w:pict>
                </mc:Fallback>
              </mc:AlternateContent>
            </w:r>
            <w:r w:rsidRPr="00DA6C1B">
              <w:rPr>
                <w:b/>
                <w:szCs w:val="28"/>
              </w:rPr>
              <w:t>Độc lập – Tự do – Hạnh phúc</w:t>
            </w:r>
          </w:p>
        </w:tc>
      </w:tr>
      <w:tr w:rsidR="005B6C62" w:rsidTr="00263CA2">
        <w:trPr>
          <w:trHeight w:val="302"/>
        </w:trPr>
        <w:tc>
          <w:tcPr>
            <w:tcW w:w="3794" w:type="dxa"/>
          </w:tcPr>
          <w:p w:rsidR="005B6C62" w:rsidRDefault="005B6C62" w:rsidP="00263CA2">
            <w:pPr>
              <w:jc w:val="center"/>
              <w:rPr>
                <w:sz w:val="26"/>
                <w:szCs w:val="26"/>
              </w:rPr>
            </w:pPr>
            <w:r w:rsidRPr="003F178B">
              <w:rPr>
                <w:sz w:val="26"/>
                <w:szCs w:val="26"/>
              </w:rPr>
              <w:t xml:space="preserve">Số: </w:t>
            </w:r>
            <w:r w:rsidR="00564125">
              <w:rPr>
                <w:sz w:val="26"/>
                <w:szCs w:val="26"/>
              </w:rPr>
              <w:t>894</w:t>
            </w:r>
            <w:r w:rsidRPr="003F178B">
              <w:rPr>
                <w:sz w:val="26"/>
                <w:szCs w:val="26"/>
              </w:rPr>
              <w:t>/</w:t>
            </w:r>
            <w:r>
              <w:rPr>
                <w:sz w:val="26"/>
                <w:szCs w:val="26"/>
              </w:rPr>
              <w:t>BXD-</w:t>
            </w:r>
            <w:r w:rsidRPr="003F178B">
              <w:rPr>
                <w:sz w:val="26"/>
                <w:szCs w:val="26"/>
              </w:rPr>
              <w:t>HĐXD</w:t>
            </w:r>
          </w:p>
          <w:p w:rsidR="005B6C62" w:rsidRPr="005B6C62" w:rsidRDefault="005B6C62" w:rsidP="00263CA2">
            <w:pPr>
              <w:jc w:val="center"/>
              <w:rPr>
                <w:sz w:val="24"/>
                <w:szCs w:val="24"/>
              </w:rPr>
            </w:pPr>
            <w:r w:rsidRPr="005B6C62">
              <w:rPr>
                <w:sz w:val="24"/>
                <w:szCs w:val="24"/>
              </w:rPr>
              <w:t xml:space="preserve">V/v thẩm quyền thẩm định dự án, thiết kế, dự toán xây dựng và kiểm tra công tác nghiệm thu công trình công trình </w:t>
            </w:r>
          </w:p>
        </w:tc>
        <w:tc>
          <w:tcPr>
            <w:tcW w:w="5670" w:type="dxa"/>
          </w:tcPr>
          <w:p w:rsidR="005B6C62" w:rsidRPr="003F178B" w:rsidRDefault="005B6C62" w:rsidP="00564125">
            <w:pPr>
              <w:jc w:val="center"/>
              <w:rPr>
                <w:i/>
                <w:sz w:val="26"/>
                <w:szCs w:val="26"/>
              </w:rPr>
            </w:pPr>
            <w:r w:rsidRPr="003F178B">
              <w:rPr>
                <w:i/>
                <w:sz w:val="26"/>
                <w:szCs w:val="26"/>
              </w:rPr>
              <w:t xml:space="preserve">Hà Nội, ngày </w:t>
            </w:r>
            <w:r>
              <w:rPr>
                <w:i/>
                <w:sz w:val="26"/>
                <w:szCs w:val="26"/>
              </w:rPr>
              <w:t xml:space="preserve"> </w:t>
            </w:r>
            <w:r w:rsidR="00564125">
              <w:rPr>
                <w:i/>
                <w:sz w:val="26"/>
                <w:szCs w:val="26"/>
              </w:rPr>
              <w:t>17</w:t>
            </w:r>
            <w:r>
              <w:rPr>
                <w:i/>
                <w:sz w:val="26"/>
                <w:szCs w:val="26"/>
              </w:rPr>
              <w:t xml:space="preserve"> </w:t>
            </w:r>
            <w:r w:rsidRPr="003F178B">
              <w:rPr>
                <w:i/>
                <w:sz w:val="26"/>
                <w:szCs w:val="26"/>
              </w:rPr>
              <w:t xml:space="preserve"> tháng </w:t>
            </w:r>
            <w:r>
              <w:rPr>
                <w:i/>
                <w:sz w:val="26"/>
                <w:szCs w:val="26"/>
              </w:rPr>
              <w:t xml:space="preserve"> </w:t>
            </w:r>
            <w:r w:rsidR="00564125">
              <w:rPr>
                <w:i/>
                <w:sz w:val="26"/>
                <w:szCs w:val="26"/>
              </w:rPr>
              <w:t xml:space="preserve">5 </w:t>
            </w:r>
            <w:r w:rsidRPr="003F178B">
              <w:rPr>
                <w:i/>
                <w:sz w:val="26"/>
                <w:szCs w:val="26"/>
              </w:rPr>
              <w:t>năm 201</w:t>
            </w:r>
            <w:r>
              <w:rPr>
                <w:i/>
                <w:sz w:val="26"/>
                <w:szCs w:val="26"/>
              </w:rPr>
              <w:t>6</w:t>
            </w:r>
          </w:p>
        </w:tc>
      </w:tr>
    </w:tbl>
    <w:p w:rsidR="005B6C62" w:rsidRPr="007612ED" w:rsidRDefault="005B6C62" w:rsidP="005331F1">
      <w:pPr>
        <w:spacing w:after="0" w:line="240" w:lineRule="auto"/>
        <w:jc w:val="center"/>
        <w:rPr>
          <w:sz w:val="27"/>
          <w:szCs w:val="27"/>
        </w:rPr>
      </w:pPr>
    </w:p>
    <w:p w:rsidR="005B6C62" w:rsidRPr="007612ED" w:rsidRDefault="005B6C62" w:rsidP="005331F1">
      <w:pPr>
        <w:spacing w:after="0" w:line="240" w:lineRule="auto"/>
        <w:jc w:val="center"/>
        <w:rPr>
          <w:sz w:val="27"/>
          <w:szCs w:val="27"/>
        </w:rPr>
      </w:pPr>
      <w:r w:rsidRPr="007612ED">
        <w:rPr>
          <w:sz w:val="27"/>
          <w:szCs w:val="27"/>
        </w:rPr>
        <w:t>Kính gửi: Bộ Giao thông Vận tải</w:t>
      </w:r>
    </w:p>
    <w:p w:rsidR="005B6C62" w:rsidRPr="007612ED" w:rsidRDefault="005B6C62" w:rsidP="005331F1">
      <w:pPr>
        <w:spacing w:after="0" w:line="240" w:lineRule="auto"/>
        <w:jc w:val="center"/>
        <w:rPr>
          <w:sz w:val="27"/>
          <w:szCs w:val="27"/>
        </w:rPr>
      </w:pPr>
    </w:p>
    <w:p w:rsidR="005B6C62" w:rsidRPr="007612ED" w:rsidRDefault="005B6C62" w:rsidP="005331F1">
      <w:pPr>
        <w:spacing w:after="120" w:line="240" w:lineRule="auto"/>
        <w:ind w:firstLine="567"/>
        <w:jc w:val="both"/>
        <w:rPr>
          <w:sz w:val="27"/>
          <w:szCs w:val="27"/>
        </w:rPr>
      </w:pPr>
      <w:r w:rsidRPr="007612ED">
        <w:rPr>
          <w:sz w:val="27"/>
          <w:szCs w:val="27"/>
        </w:rPr>
        <w:t>Bộ Xây dựng nhận được Văn bản số 2554/BGTVT-CQLXD ngày 11/3/2016 của Bộ Giao thông Vận tải về việc ủy quyền cho chủ đầu tư, Ban quản lý dự án thực hiện công tác thẩm định, phê duyệt điều chỉnh thiết kế, dự toán xây dựng công trình các dự án đầu tư xây dựng do Bộ Giao thông Vận tải quyết định đầu tư. Sau khi nghiên cứu, Bộ Xây dựng có ý kiến như sau:</w:t>
      </w:r>
    </w:p>
    <w:p w:rsidR="00BC6478" w:rsidRDefault="005331F1" w:rsidP="00BC6478">
      <w:pPr>
        <w:spacing w:before="120" w:after="0" w:line="240" w:lineRule="auto"/>
        <w:ind w:firstLine="567"/>
        <w:jc w:val="both"/>
        <w:rPr>
          <w:szCs w:val="28"/>
        </w:rPr>
      </w:pPr>
      <w:r w:rsidRPr="007612ED">
        <w:rPr>
          <w:sz w:val="27"/>
          <w:szCs w:val="27"/>
        </w:rPr>
        <w:t xml:space="preserve">1. </w:t>
      </w:r>
      <w:r w:rsidR="00D50987" w:rsidRPr="007612ED">
        <w:rPr>
          <w:sz w:val="27"/>
          <w:szCs w:val="27"/>
        </w:rPr>
        <w:t xml:space="preserve">Theo quy định của Luật Xây dựng năm 2014 và Nghị định số 59/2015/NĐ-CP ngày 18/6/2015 của Chính phủ về quản lý dự án đầu tư xây dựng thì thẩm quyền thẩm định thiết kế, dự toán xây dựng các công trình thuộc dự án do Bộ Giao thông Vận tải quyết định đầu tư là của Cơ quan chuyên môn về xây dựng thuộc Bộ Giao thông Vận tải. </w:t>
      </w:r>
      <w:r w:rsidR="00BC6478">
        <w:rPr>
          <w:sz w:val="27"/>
          <w:szCs w:val="27"/>
        </w:rPr>
        <w:t>Do đó, v</w:t>
      </w:r>
      <w:r w:rsidR="00BC6478">
        <w:rPr>
          <w:szCs w:val="28"/>
        </w:rPr>
        <w:t xml:space="preserve">iệc phân giao </w:t>
      </w:r>
      <w:r w:rsidR="00BC6478" w:rsidRPr="007612ED">
        <w:rPr>
          <w:sz w:val="27"/>
          <w:szCs w:val="27"/>
        </w:rPr>
        <w:t xml:space="preserve">cho các Ban Quản lý dự án trực thuộc </w:t>
      </w:r>
      <w:r w:rsidR="00BC6478">
        <w:rPr>
          <w:szCs w:val="28"/>
        </w:rPr>
        <w:t xml:space="preserve">thẩm định thiết kế điều chỉnh, dự toán xây dựng công trình trong một số trường hợp cụ thể, không làm thay đổi thiết kế cơ sở và tổng mức đầu tư đối với các dự án do Bộ Giao thông Vận tải quyết định đầu tư thuộc thẩm quyền của Bộ Giao thông Vận tải trên cơ sở phù hợp với phân công chức năng, nhiệm vụ của các đơn vị trực thuộc Bộ, đồng thời đảm bảo tính khách quan, phân định rõ chức năng quản lý nhà nước trong hoạt động đầu tư xây dựng với </w:t>
      </w:r>
      <w:r w:rsidR="00BC6478" w:rsidRPr="007612ED">
        <w:rPr>
          <w:sz w:val="27"/>
          <w:szCs w:val="27"/>
        </w:rPr>
        <w:t>chức năng quản lý của chủ đầu tư theo quy định tại Khoản 8 Điều 4 Luật Xây dựng năm 2014</w:t>
      </w:r>
      <w:r w:rsidR="00BC6478">
        <w:rPr>
          <w:sz w:val="27"/>
          <w:szCs w:val="27"/>
        </w:rPr>
        <w:t>.</w:t>
      </w:r>
    </w:p>
    <w:p w:rsidR="005B6C62" w:rsidRPr="007612ED" w:rsidRDefault="005B6C62" w:rsidP="00BC6478">
      <w:pPr>
        <w:spacing w:before="120" w:after="120" w:line="240" w:lineRule="auto"/>
        <w:ind w:firstLine="567"/>
        <w:jc w:val="both"/>
        <w:rPr>
          <w:sz w:val="27"/>
          <w:szCs w:val="27"/>
        </w:rPr>
      </w:pPr>
      <w:r w:rsidRPr="007612ED">
        <w:rPr>
          <w:sz w:val="27"/>
          <w:szCs w:val="27"/>
        </w:rPr>
        <w:t xml:space="preserve">2. Thẩm quyền về phê duyệt điều chỉnh thiết kế, dự toán xây dựng công trình thực hiện theo quy định tại Điểm a Khoản 1 Điều 72 Luật Xây dựng năm 2014. Theo đó, người quyết định đầu tư có quyền phê duyệt hoặc ủy quyền phê duyệt thiết kế, dự toán xây dựng công trình. </w:t>
      </w:r>
    </w:p>
    <w:p w:rsidR="005B6C62" w:rsidRPr="007612ED" w:rsidRDefault="005B6C62" w:rsidP="005331F1">
      <w:pPr>
        <w:spacing w:after="120" w:line="240" w:lineRule="auto"/>
        <w:ind w:firstLine="567"/>
        <w:jc w:val="both"/>
        <w:rPr>
          <w:sz w:val="27"/>
          <w:szCs w:val="27"/>
        </w:rPr>
      </w:pPr>
      <w:r w:rsidRPr="007612ED">
        <w:rPr>
          <w:sz w:val="27"/>
          <w:szCs w:val="27"/>
        </w:rPr>
        <w:t>Trên đây là ý kiến của Bộ Xây dựng, đề nghị Bộ Giao thông Vận tải nghiên cứu, thực hiện./.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5"/>
      </w:tblGrid>
      <w:tr w:rsidR="005B6C62" w:rsidTr="005331F1">
        <w:trPr>
          <w:jc w:val="center"/>
        </w:trPr>
        <w:tc>
          <w:tcPr>
            <w:tcW w:w="4590" w:type="dxa"/>
          </w:tcPr>
          <w:p w:rsidR="005B6C62" w:rsidRDefault="005B6C62" w:rsidP="00263CA2">
            <w:pPr>
              <w:jc w:val="both"/>
              <w:rPr>
                <w:b/>
                <w:i/>
                <w:sz w:val="24"/>
                <w:szCs w:val="24"/>
              </w:rPr>
            </w:pPr>
          </w:p>
          <w:p w:rsidR="005B6C62" w:rsidRPr="00660191" w:rsidRDefault="005B6C62" w:rsidP="00263CA2">
            <w:pPr>
              <w:jc w:val="both"/>
              <w:rPr>
                <w:b/>
                <w:i/>
                <w:sz w:val="24"/>
                <w:szCs w:val="24"/>
              </w:rPr>
            </w:pPr>
            <w:r w:rsidRPr="00660191">
              <w:rPr>
                <w:b/>
                <w:i/>
                <w:sz w:val="24"/>
                <w:szCs w:val="24"/>
              </w:rPr>
              <w:t>Nơi nhận:</w:t>
            </w:r>
          </w:p>
          <w:p w:rsidR="005B6C62" w:rsidRDefault="005B6C62" w:rsidP="00263CA2">
            <w:pPr>
              <w:jc w:val="both"/>
              <w:rPr>
                <w:sz w:val="22"/>
              </w:rPr>
            </w:pPr>
            <w:r w:rsidRPr="00660191">
              <w:rPr>
                <w:sz w:val="22"/>
              </w:rPr>
              <w:t>- Như trên;</w:t>
            </w:r>
          </w:p>
          <w:p w:rsidR="005B6C62" w:rsidRDefault="005B6C62" w:rsidP="005331F1">
            <w:pPr>
              <w:ind w:left="-87" w:firstLine="87"/>
              <w:jc w:val="both"/>
            </w:pPr>
            <w:r w:rsidRPr="00660191">
              <w:rPr>
                <w:sz w:val="22"/>
              </w:rPr>
              <w:t xml:space="preserve">- </w:t>
            </w:r>
            <w:r>
              <w:rPr>
                <w:sz w:val="22"/>
              </w:rPr>
              <w:t>Lưu: VT, PC, HĐXD</w:t>
            </w:r>
            <w:r>
              <w:rPr>
                <w:sz w:val="22"/>
                <w:vertAlign w:val="subscript"/>
              </w:rPr>
              <w:t>(DMH)</w:t>
            </w:r>
            <w:r>
              <w:rPr>
                <w:sz w:val="22"/>
              </w:rPr>
              <w:t>.</w:t>
            </w:r>
          </w:p>
        </w:tc>
        <w:tc>
          <w:tcPr>
            <w:tcW w:w="4765" w:type="dxa"/>
          </w:tcPr>
          <w:p w:rsidR="005B6C62" w:rsidRDefault="005B6C62" w:rsidP="00263CA2">
            <w:pPr>
              <w:jc w:val="center"/>
              <w:rPr>
                <w:b/>
                <w:sz w:val="26"/>
                <w:szCs w:val="26"/>
              </w:rPr>
            </w:pPr>
            <w:r>
              <w:rPr>
                <w:b/>
                <w:sz w:val="26"/>
                <w:szCs w:val="26"/>
              </w:rPr>
              <w:t>KT. BỘ</w:t>
            </w:r>
            <w:r w:rsidRPr="00660191">
              <w:rPr>
                <w:b/>
                <w:sz w:val="26"/>
                <w:szCs w:val="26"/>
              </w:rPr>
              <w:t xml:space="preserve"> TRƯỞNG</w:t>
            </w:r>
          </w:p>
          <w:p w:rsidR="005B6C62" w:rsidRPr="00660191" w:rsidRDefault="005B6C62" w:rsidP="00263CA2">
            <w:pPr>
              <w:jc w:val="center"/>
              <w:rPr>
                <w:b/>
                <w:sz w:val="26"/>
                <w:szCs w:val="26"/>
              </w:rPr>
            </w:pPr>
            <w:r>
              <w:rPr>
                <w:b/>
                <w:sz w:val="26"/>
                <w:szCs w:val="26"/>
              </w:rPr>
              <w:t>THỨ TRƯỞNG</w:t>
            </w:r>
          </w:p>
          <w:p w:rsidR="005B6C62" w:rsidRDefault="005B6C62" w:rsidP="00263CA2">
            <w:pPr>
              <w:spacing w:before="120"/>
              <w:jc w:val="center"/>
              <w:rPr>
                <w:b/>
              </w:rPr>
            </w:pPr>
          </w:p>
          <w:p w:rsidR="007612ED" w:rsidRDefault="007612ED" w:rsidP="00263CA2">
            <w:pPr>
              <w:spacing w:before="120"/>
              <w:jc w:val="center"/>
              <w:rPr>
                <w:b/>
              </w:rPr>
            </w:pPr>
          </w:p>
          <w:p w:rsidR="005B6C62" w:rsidRPr="00313995" w:rsidRDefault="00D66B75" w:rsidP="00263CA2">
            <w:pPr>
              <w:spacing w:before="120"/>
              <w:jc w:val="center"/>
            </w:pPr>
            <w:r w:rsidRPr="00313995">
              <w:t>Đã ký</w:t>
            </w:r>
            <w:bookmarkStart w:id="0" w:name="_GoBack"/>
            <w:bookmarkEnd w:id="0"/>
          </w:p>
          <w:p w:rsidR="005B6C62" w:rsidRPr="00660191" w:rsidRDefault="005B6C62" w:rsidP="00263CA2">
            <w:pPr>
              <w:spacing w:before="120"/>
              <w:jc w:val="center"/>
              <w:rPr>
                <w:b/>
              </w:rPr>
            </w:pPr>
          </w:p>
          <w:p w:rsidR="005B6C62" w:rsidRPr="00660191" w:rsidRDefault="00D0258E" w:rsidP="00263CA2">
            <w:pPr>
              <w:spacing w:before="120"/>
              <w:jc w:val="center"/>
              <w:rPr>
                <w:b/>
              </w:rPr>
            </w:pPr>
            <w:r>
              <w:rPr>
                <w:b/>
              </w:rPr>
              <w:t>Lê Quang Hùng</w:t>
            </w:r>
          </w:p>
        </w:tc>
      </w:tr>
    </w:tbl>
    <w:p w:rsidR="005331F1" w:rsidRDefault="005331F1" w:rsidP="007612ED"/>
    <w:sectPr w:rsidR="005331F1" w:rsidSect="007612ED">
      <w:pgSz w:w="11907" w:h="16840"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1A83"/>
    <w:multiLevelType w:val="hybridMultilevel"/>
    <w:tmpl w:val="343AF352"/>
    <w:lvl w:ilvl="0" w:tplc="B89859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0B"/>
    <w:rsid w:val="000144FC"/>
    <w:rsid w:val="00024901"/>
    <w:rsid w:val="00052CE6"/>
    <w:rsid w:val="000D632E"/>
    <w:rsid w:val="00102107"/>
    <w:rsid w:val="001847D1"/>
    <w:rsid w:val="001C7C21"/>
    <w:rsid w:val="001E0772"/>
    <w:rsid w:val="001F1BF6"/>
    <w:rsid w:val="0021426B"/>
    <w:rsid w:val="00262254"/>
    <w:rsid w:val="002A3CE4"/>
    <w:rsid w:val="00307BDE"/>
    <w:rsid w:val="00313995"/>
    <w:rsid w:val="00340151"/>
    <w:rsid w:val="0034798C"/>
    <w:rsid w:val="003C602E"/>
    <w:rsid w:val="003F178B"/>
    <w:rsid w:val="00426946"/>
    <w:rsid w:val="00463582"/>
    <w:rsid w:val="004A48B5"/>
    <w:rsid w:val="00516A6D"/>
    <w:rsid w:val="005331F1"/>
    <w:rsid w:val="00543710"/>
    <w:rsid w:val="00564125"/>
    <w:rsid w:val="005A5498"/>
    <w:rsid w:val="005B6C62"/>
    <w:rsid w:val="005D3DEC"/>
    <w:rsid w:val="006242B3"/>
    <w:rsid w:val="006410B6"/>
    <w:rsid w:val="00660191"/>
    <w:rsid w:val="006C5A13"/>
    <w:rsid w:val="007612ED"/>
    <w:rsid w:val="00770028"/>
    <w:rsid w:val="00866E5F"/>
    <w:rsid w:val="00871204"/>
    <w:rsid w:val="008B748F"/>
    <w:rsid w:val="008F2A4D"/>
    <w:rsid w:val="008F47DB"/>
    <w:rsid w:val="00940308"/>
    <w:rsid w:val="00980F4B"/>
    <w:rsid w:val="009870B8"/>
    <w:rsid w:val="009E4E33"/>
    <w:rsid w:val="009F7DC0"/>
    <w:rsid w:val="00A0050B"/>
    <w:rsid w:val="00A711A0"/>
    <w:rsid w:val="00A80CCC"/>
    <w:rsid w:val="00A8135B"/>
    <w:rsid w:val="00AD5CD5"/>
    <w:rsid w:val="00B05F30"/>
    <w:rsid w:val="00B2031F"/>
    <w:rsid w:val="00B6494D"/>
    <w:rsid w:val="00BC6478"/>
    <w:rsid w:val="00C458BC"/>
    <w:rsid w:val="00C4722E"/>
    <w:rsid w:val="00C64590"/>
    <w:rsid w:val="00D0258E"/>
    <w:rsid w:val="00D46EEF"/>
    <w:rsid w:val="00D50987"/>
    <w:rsid w:val="00D66B75"/>
    <w:rsid w:val="00DA2582"/>
    <w:rsid w:val="00DA6C1B"/>
    <w:rsid w:val="00E0077D"/>
    <w:rsid w:val="00E0269A"/>
    <w:rsid w:val="00E35619"/>
    <w:rsid w:val="00E91CBA"/>
    <w:rsid w:val="00EE0966"/>
    <w:rsid w:val="00EE20DB"/>
    <w:rsid w:val="00FE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D0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5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D0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nhungmoc</cp:lastModifiedBy>
  <cp:revision>5</cp:revision>
  <cp:lastPrinted>2016-05-16T02:06:00Z</cp:lastPrinted>
  <dcterms:created xsi:type="dcterms:W3CDTF">2016-06-06T06:25:00Z</dcterms:created>
  <dcterms:modified xsi:type="dcterms:W3CDTF">2016-06-10T03:45:00Z</dcterms:modified>
</cp:coreProperties>
</file>